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4A2A"/>
          <w:sz w:val="26"/>
        </w:rPr>
        <w:t>DEVELOPMENT DOCUMENTATION</w:t>
      </w:r>
    </w:p>
    <w:p>
      <w:pPr>
        <w:jc w:val="center"/>
      </w:pPr>
      <w:r>
        <w:rPr>
          <w:b/>
          <w:color w:val="1F6688"/>
          <w:sz w:val="44"/>
        </w:rPr>
        <w:t>GIS-Based 3D Landslide Hazard Visualization Model</w:t>
      </w:r>
    </w:p>
    <w:p>
      <w:pPr>
        <w:jc w:val="center"/>
      </w:pPr>
      <w:r>
        <w:rPr>
          <w:i/>
          <w:sz w:val="26"/>
        </w:rPr>
        <w:t>Study area: Malico, San Nicolas, Pangasinan, Philippines</w:t>
      </w:r>
    </w:p>
    <w:p/>
    <w:p/>
    <w:p>
      <w:pPr>
        <w:jc w:val="center"/>
      </w:pPr>
      <w:r>
        <w:rPr>
          <w:b w:val="0"/>
          <w:i/>
          <w:color w:val="1A1F2B"/>
          <w:sz w:val="22"/>
        </w:rPr>
        <w:t>Thesis title (per project note): "Illustrating 3D Landslide Simulation Using Geodynamic Models to Determine Sediment Transport and Runout Deposition in Malico, San Nicolas, Pangasinan."</w:t>
      </w:r>
    </w:p>
    <w:p/>
    <w:p/>
    <w:tbl>
      <w:tblPr>
        <w:tblStyle w:val="LightList-Accent1"/>
        <w:tblW w:type="auto" w:w="0"/>
        <w:tblLook w:firstColumn="1" w:firstRow="1" w:lastColumn="0" w:lastRow="0" w:noHBand="0" w:noVBand="1" w:val="04A0"/>
      </w:tblPr>
      <w:tblGrid>
        <w:gridCol w:w="4320"/>
        <w:gridCol w:w="4320"/>
      </w:tblGrid>
      <w:tr>
        <w:tc>
          <w:tcPr>
            <w:tcW w:type="dxa" w:w="3118"/>
            <w:shd w:val="clear" w:color="auto" w:fill="1F6688"/>
          </w:tcPr>
          <w:p>
            <w:r>
              <w:rPr>
                <w:b/>
                <w:color w:val="FFFFFF"/>
              </w:rPr>
              <w:t>Item</w:t>
            </w:r>
          </w:p>
        </w:tc>
        <w:tc>
          <w:tcPr>
            <w:tcW w:type="dxa" w:w="5953"/>
            <w:shd w:val="clear" w:color="auto" w:fill="1F6688"/>
          </w:tcPr>
          <w:p>
            <w:r>
              <w:rPr>
                <w:b/>
                <w:color w:val="FFFFFF"/>
              </w:rPr>
              <w:t>Value</w:t>
            </w:r>
          </w:p>
        </w:tc>
      </w:tr>
      <w:tr>
        <w:tc>
          <w:tcPr>
            <w:tcW w:type="dxa" w:w="3118"/>
          </w:tcPr>
          <w:p>
            <w:r>
              <w:rPr>
                <w:b/>
              </w:rPr>
              <w:t>Project area</w:t>
            </w:r>
          </w:p>
        </w:tc>
        <w:tc>
          <w:tcPr>
            <w:tcW w:type="dxa" w:w="5953"/>
          </w:tcPr>
          <w:p>
            <w:r>
              <w:t>Malico, San Nicolas, Pangasinan, Philippines</w:t>
            </w:r>
          </w:p>
        </w:tc>
      </w:tr>
      <w:tr>
        <w:tc>
          <w:tcPr>
            <w:tcW w:type="dxa" w:w="3118"/>
          </w:tcPr>
          <w:p>
            <w:r>
              <w:rPr>
                <w:b/>
              </w:rPr>
              <w:t>Site centre</w:t>
            </w:r>
          </w:p>
        </w:tc>
        <w:tc>
          <w:tcPr>
            <w:tcW w:type="dxa" w:w="5953"/>
          </w:tcPr>
          <w:p>
            <w:r>
              <w:t>16.1573 deg N, 120.8267 deg E</w:t>
            </w:r>
          </w:p>
        </w:tc>
      </w:tr>
      <w:tr>
        <w:tc>
          <w:tcPr>
            <w:tcW w:type="dxa" w:w="3118"/>
          </w:tcPr>
          <w:p>
            <w:r>
              <w:rPr>
                <w:b/>
              </w:rPr>
              <w:t>AOI bbox (WGS84)</w:t>
            </w:r>
          </w:p>
        </w:tc>
        <w:tc>
          <w:tcPr>
            <w:tcW w:type="dxa" w:w="5953"/>
          </w:tcPr>
          <w:p>
            <w:r>
              <w:t>(120.787, 16.117) - (120.867, 16.197)</w:t>
            </w:r>
          </w:p>
        </w:tc>
      </w:tr>
      <w:tr>
        <w:tc>
          <w:tcPr>
            <w:tcW w:type="dxa" w:w="3118"/>
          </w:tcPr>
          <w:p>
            <w:r>
              <w:rPr>
                <w:b/>
              </w:rPr>
              <w:t>AOI area</w:t>
            </w:r>
          </w:p>
        </w:tc>
        <w:tc>
          <w:tcPr>
            <w:tcW w:type="dxa" w:w="5953"/>
          </w:tcPr>
          <w:p>
            <w:r>
              <w:t>approx. 8.6 x 8.9 km (76 km^2)</w:t>
            </w:r>
          </w:p>
        </w:tc>
      </w:tr>
      <w:tr>
        <w:tc>
          <w:tcPr>
            <w:tcW w:type="dxa" w:w="3118"/>
          </w:tcPr>
          <w:p>
            <w:r>
              <w:rPr>
                <w:b/>
              </w:rPr>
              <w:t>Generated on</w:t>
            </w:r>
          </w:p>
        </w:tc>
        <w:tc>
          <w:tcPr>
            <w:tcW w:type="dxa" w:w="5953"/>
          </w:tcPr>
          <w:p>
            <w:r>
              <w:t>2026-05-20T00:08:32</w:t>
            </w:r>
          </w:p>
        </w:tc>
      </w:tr>
      <w:tr>
        <w:tc>
          <w:tcPr>
            <w:tcW w:type="dxa" w:w="3118"/>
          </w:tcPr>
          <w:p>
            <w:r>
              <w:rPr>
                <w:b/>
              </w:rPr>
              <w:t>Pipeline duration</w:t>
            </w:r>
          </w:p>
        </w:tc>
        <w:tc>
          <w:tcPr>
            <w:tcW w:type="dxa" w:w="5953"/>
          </w:tcPr>
          <w:p>
            <w:r>
              <w:t>4.1 s</w:t>
            </w:r>
          </w:p>
        </w:tc>
      </w:tr>
      <w:tr>
        <w:tc>
          <w:tcPr>
            <w:tcW w:type="dxa" w:w="3118"/>
          </w:tcPr>
          <w:p>
            <w:r>
              <w:rPr>
                <w:b/>
              </w:rPr>
              <w:t>Document built</w:t>
            </w:r>
          </w:p>
        </w:tc>
        <w:tc>
          <w:tcPr>
            <w:tcW w:type="dxa" w:w="5953"/>
          </w:tcPr>
          <w:p>
            <w:r>
              <w:t>2026-05-20 00:46</w:t>
            </w:r>
          </w:p>
        </w:tc>
      </w:tr>
    </w:tbl>
    <w:p>
      <w:r>
        <w:br w:type="page"/>
      </w:r>
    </w:p>
    <w:p>
      <w:pPr>
        <w:pStyle w:val="Heading1"/>
      </w:pPr>
      <w:r>
        <w:rPr>
          <w:color w:val="1F6688"/>
        </w:rPr>
        <w:t>Contents</w:t>
      </w:r>
    </w:p>
    <w:p>
      <w:pPr>
        <w:spacing w:after="40"/>
      </w:pPr>
      <w:r>
        <w:t>1. Executive Summary</w:t>
      </w:r>
    </w:p>
    <w:p>
      <w:pPr>
        <w:spacing w:after="40"/>
      </w:pPr>
      <w:r>
        <w:t>2. Study Area</w:t>
      </w:r>
    </w:p>
    <w:p>
      <w:pPr>
        <w:spacing w:after="40"/>
      </w:pPr>
      <w:r>
        <w:t>3. Technology Stack</w:t>
      </w:r>
    </w:p>
    <w:p>
      <w:pPr>
        <w:spacing w:after="40"/>
      </w:pPr>
      <w:r>
        <w:t>4. Development Process - stage by stage</w:t>
      </w:r>
    </w:p>
    <w:p>
      <w:pPr>
        <w:spacing w:after="40"/>
      </w:pPr>
      <w:r>
        <w:t>5. Scientific Methodology</w:t>
      </w:r>
    </w:p>
    <w:p>
      <w:pPr>
        <w:spacing w:after="40"/>
      </w:pPr>
      <w:r>
        <w:t>6. Data Sources (with provenance + URLs)</w:t>
      </w:r>
    </w:p>
    <w:p>
      <w:pPr>
        <w:spacing w:after="40"/>
      </w:pPr>
      <w:r>
        <w:t>7. Tools &amp; Libraries (with versions)</w:t>
      </w:r>
    </w:p>
    <w:p>
      <w:pPr>
        <w:spacing w:after="40"/>
      </w:pPr>
      <w:r>
        <w:t>8. Scientific References</w:t>
      </w:r>
    </w:p>
    <w:p>
      <w:pPr>
        <w:spacing w:after="40"/>
      </w:pPr>
      <w:r>
        <w:t>9. Data Legitimacy Statement</w:t>
      </w:r>
    </w:p>
    <w:p>
      <w:pPr>
        <w:spacing w:after="40"/>
      </w:pPr>
      <w:r>
        <w:t>10. Output Statistics (latest run)</w:t>
      </w:r>
    </w:p>
    <w:p>
      <w:pPr>
        <w:spacing w:after="40"/>
      </w:pPr>
      <w:r>
        <w:t>11. Reproducibility &amp; Audit Trail</w:t>
      </w:r>
    </w:p>
    <w:p>
      <w:pPr>
        <w:spacing w:after="40"/>
      </w:pPr>
      <w:r>
        <w:t>12. Appendix - File Manifest</w:t>
      </w:r>
    </w:p>
    <w:p>
      <w:r>
        <w:br w:type="page"/>
      </w:r>
    </w:p>
    <w:p>
      <w:pPr>
        <w:pStyle w:val="Heading1"/>
      </w:pPr>
      <w:r>
        <w:rPr>
          <w:color w:val="1F6688"/>
        </w:rPr>
        <w:t>1. Executive Summary</w:t>
      </w:r>
    </w:p>
    <w:p>
      <w:r>
        <w:rPr>
          <w:b w:val="0"/>
          <w:i w:val="0"/>
          <w:color w:val="1A1F2B"/>
        </w:rPr>
        <w:t>This document is the development log of a physically-based, fully-reproducible landslide-hazard visualization model for Barangay Malico, San Nicolas, Pangasinan. The deliverable consists of a Python analysis pipeline (numpy / scipy / rasterio) and a browser-based 3D viewer (Three.js / WebGL) augmented with a 2D OpenStreetMap minimap (Leaflet).</w:t>
      </w:r>
    </w:p>
    <w:p>
      <w:r>
        <w:rPr>
          <w:b w:val="0"/>
          <w:i w:val="0"/>
          <w:color w:val="1A1F2B"/>
        </w:rPr>
        <w:t>Every dataset used here is open, citable, and freely licensed. The terrain comes from the European Space Agency's Copernicus GLO-30 DEM tile downloaded from the AWS Open Data public bucket. Buildings, roads, waterways, place names, and administrative boundaries are sourced from the OpenStreetMap database via the Overpass API. The landslide-stability mathematics follow the canonical infinite-slope Factor of Safety equation and the energy-line (Fahrboeschung) runout model of Horton et al. (2013), as implemented by tools such as Flow-R and OpenLISEM.</w:t>
      </w:r>
    </w:p>
    <w:p>
      <w:pPr>
        <w:spacing w:after="160"/>
      </w:pPr>
      <w:r>
        <w:rPr>
          <w:b w:val="0"/>
          <w:i w:val="0"/>
          <w:color w:val="1A1F2B"/>
        </w:rPr>
        <w:t>Each pipeline stage is implemented as an idempotent module under the landslide/ Python package, driven by a single config.yaml. A run_manifest.json with SHA-256 hashes, library versions, and full configuration snapshot is written at the end of every run, so any later re-execution can be byte-compared against the original.</w:t>
      </w:r>
    </w:p>
    <w:p/>
    <w:p/>
    <w:p>
      <w:pPr>
        <w:pStyle w:val="Heading1"/>
      </w:pPr>
      <w:r>
        <w:rPr>
          <w:color w:val="1F6688"/>
        </w:rPr>
        <w:t>2. Study Area</w:t>
      </w:r>
    </w:p>
    <w:p>
      <w:r>
        <w:rPr>
          <w:b/>
          <w:i w:val="0"/>
          <w:color w:val="B24A2A"/>
          <w:sz w:val="24"/>
        </w:rPr>
        <w:t>2.1 Location</w:t>
      </w:r>
    </w:p>
    <w:p>
      <w:r>
        <w:rPr>
          <w:b w:val="0"/>
          <w:i w:val="0"/>
          <w:color w:val="1A1F2B"/>
        </w:rPr>
        <w:t>Barangay Malico is a remote mountain barangay in San Nicolas, Pangasinan, situated in the Caraballo Mountains along the Villa Verde / Pangasinan-Nueva Vizcaya National Road. It sits at the border with Santa Fe, Nueva Vizcaya, in an area with a documented inter-provincial boundary dispute (OpenStreetMap node 3192513070 tagged note="ongoing boundary dispute").</w:t>
      </w:r>
    </w:p>
    <w:tbl>
      <w:tblPr>
        <w:tblStyle w:val="LightList-Accent1"/>
        <w:tblW w:type="auto" w:w="0"/>
        <w:tblLook w:firstColumn="1" w:firstRow="1" w:lastColumn="0" w:lastRow="0" w:noHBand="0" w:noVBand="1" w:val="04A0"/>
      </w:tblPr>
      <w:tblGrid>
        <w:gridCol w:w="4320"/>
        <w:gridCol w:w="4320"/>
      </w:tblGrid>
      <w:tr>
        <w:tc>
          <w:tcPr>
            <w:tcW w:type="dxa" w:w="2835"/>
            <w:shd w:val="clear" w:color="auto" w:fill="1F6688"/>
          </w:tcPr>
          <w:p>
            <w:r>
              <w:rPr>
                <w:b/>
                <w:color w:val="FFFFFF"/>
              </w:rPr>
              <w:t>Property</w:t>
            </w:r>
          </w:p>
        </w:tc>
        <w:tc>
          <w:tcPr>
            <w:tcW w:type="dxa" w:w="6236"/>
            <w:shd w:val="clear" w:color="auto" w:fill="1F6688"/>
          </w:tcPr>
          <w:p>
            <w:r>
              <w:rPr>
                <w:b/>
                <w:color w:val="FFFFFF"/>
              </w:rPr>
              <w:t>Value</w:t>
            </w:r>
          </w:p>
        </w:tc>
      </w:tr>
      <w:tr>
        <w:tc>
          <w:tcPr>
            <w:tcW w:type="dxa" w:w="2835"/>
          </w:tcPr>
          <w:p>
            <w:r>
              <w:rPr>
                <w:b/>
              </w:rPr>
              <w:t>Province</w:t>
            </w:r>
          </w:p>
        </w:tc>
        <w:tc>
          <w:tcPr>
            <w:tcW w:type="dxa" w:w="6236"/>
          </w:tcPr>
          <w:p>
            <w:r>
              <w:t>Pangasinan (administrative)</w:t>
            </w:r>
          </w:p>
        </w:tc>
      </w:tr>
      <w:tr>
        <w:tc>
          <w:tcPr>
            <w:tcW w:type="dxa" w:w="2835"/>
          </w:tcPr>
          <w:p>
            <w:r>
              <w:rPr>
                <w:b/>
              </w:rPr>
              <w:t>Municipality</w:t>
            </w:r>
          </w:p>
        </w:tc>
        <w:tc>
          <w:tcPr>
            <w:tcW w:type="dxa" w:w="6236"/>
          </w:tcPr>
          <w:p>
            <w:r>
              <w:t>San Nicolas</w:t>
            </w:r>
          </w:p>
        </w:tc>
      </w:tr>
      <w:tr>
        <w:tc>
          <w:tcPr>
            <w:tcW w:type="dxa" w:w="2835"/>
          </w:tcPr>
          <w:p>
            <w:r>
              <w:rPr>
                <w:b/>
              </w:rPr>
              <w:t>Barangay</w:t>
            </w:r>
          </w:p>
        </w:tc>
        <w:tc>
          <w:tcPr>
            <w:tcW w:type="dxa" w:w="6236"/>
          </w:tcPr>
          <w:p>
            <w:r>
              <w:t>Malico</w:t>
            </w:r>
          </w:p>
        </w:tc>
      </w:tr>
      <w:tr>
        <w:tc>
          <w:tcPr>
            <w:tcW w:type="dxa" w:w="2835"/>
          </w:tcPr>
          <w:p>
            <w:r>
              <w:rPr>
                <w:b/>
              </w:rPr>
              <w:t>Centre</w:t>
            </w:r>
          </w:p>
        </w:tc>
        <w:tc>
          <w:tcPr>
            <w:tcW w:type="dxa" w:w="6236"/>
          </w:tcPr>
          <w:p>
            <w:r>
              <w:t>16.1573 deg N, 120.8267 deg E</w:t>
            </w:r>
          </w:p>
        </w:tc>
      </w:tr>
      <w:tr>
        <w:tc>
          <w:tcPr>
            <w:tcW w:type="dxa" w:w="2835"/>
          </w:tcPr>
          <w:p>
            <w:r>
              <w:rPr>
                <w:b/>
              </w:rPr>
              <w:t>Elevation range</w:t>
            </w:r>
          </w:p>
        </w:tc>
        <w:tc>
          <w:tcPr>
            <w:tcW w:type="dxa" w:w="6236"/>
          </w:tcPr>
          <w:p>
            <w:r>
              <w:t>147 m - 1579 m (Copernicus GLO-30 over AOI)</w:t>
            </w:r>
          </w:p>
        </w:tc>
      </w:tr>
      <w:tr>
        <w:tc>
          <w:tcPr>
            <w:tcW w:type="dxa" w:w="2835"/>
          </w:tcPr>
          <w:p>
            <w:r>
              <w:rPr>
                <w:b/>
              </w:rPr>
              <w:t>Terrain type</w:t>
            </w:r>
          </w:p>
        </w:tc>
        <w:tc>
          <w:tcPr>
            <w:tcW w:type="dxa" w:w="6236"/>
          </w:tcPr>
          <w:p>
            <w:r>
              <w:t>Mountainous, deeply dissected slopes; tropical residual soils</w:t>
            </w:r>
          </w:p>
        </w:tc>
      </w:tr>
      <w:tr>
        <w:tc>
          <w:tcPr>
            <w:tcW w:type="dxa" w:w="2835"/>
          </w:tcPr>
          <w:p>
            <w:r>
              <w:rPr>
                <w:b/>
              </w:rPr>
              <w:t>Historical hazard</w:t>
            </w:r>
          </w:p>
        </w:tc>
        <w:tc>
          <w:tcPr>
            <w:tcW w:type="dxa" w:w="6236"/>
          </w:tcPr>
          <w:p>
            <w:r>
              <w:t>Repeatedly affected by rainfall-induced landslides on the National Road</w:t>
            </w:r>
          </w:p>
        </w:tc>
      </w:tr>
    </w:tbl>
    <w:p>
      <w:r>
        <w:rPr>
          <w:b/>
          <w:i w:val="0"/>
          <w:color w:val="B24A2A"/>
          <w:sz w:val="24"/>
        </w:rPr>
        <w:t>2.2 Reported landslide history</w:t>
      </w:r>
    </w:p>
    <w:p>
      <w:r>
        <w:rPr>
          <w:b w:val="0"/>
          <w:i w:val="0"/>
          <w:color w:val="1A1F2B"/>
        </w:rPr>
        <w:t>The Pangasinan-Nueva Vizcaya Road through Malico has been temporarily closed multiple times due to rainfall-induced landslides. Two media-reported events used for context:</w:t>
      </w:r>
    </w:p>
    <w:p>
      <w:r>
        <w:t xml:space="preserve">- </w:t>
      </w:r>
      <w:r>
        <w:rPr>
          <w:color w:val="1F6688"/>
          <w:u w:val="single"/>
        </w:rPr>
        <w:t>Bombo Radyo Dagupan - Pangasinan-Nueva Vizcaya Road closed due to landslide</w:t>
      </w:r>
      <w:r>
        <w:rPr>
          <w:sz w:val="18"/>
        </w:rPr>
        <w:t xml:space="preserve">   &lt;https://dagupan.bomboradyo.com/pangasinan-nueva-vizcaya-road-pansamantalang-sinara-dahil-sa-landslide/&gt;</w:t>
      </w:r>
    </w:p>
    <w:p>
      <w:r>
        <w:t xml:space="preserve">- </w:t>
      </w:r>
      <w:r>
        <w:rPr>
          <w:color w:val="1F6688"/>
          <w:u w:val="single"/>
        </w:rPr>
        <w:t>RMN.PH - Consecutive landslides in San Nicolas due to continuous rainfall</w:t>
      </w:r>
      <w:r>
        <w:rPr>
          <w:sz w:val="18"/>
        </w:rPr>
        <w:t xml:space="preserve">   &lt;https://rmn.ph/sunod-sunod-na-landslide-sa-san-nicolas-naitala-dahil-sa-diretsong-buhos-ng-ulan/&gt;</w:t>
      </w:r>
    </w:p>
    <w:p>
      <w:r>
        <w:t xml:space="preserve">- </w:t>
      </w:r>
      <w:r>
        <w:rPr>
          <w:color w:val="1F6688"/>
          <w:u w:val="single"/>
        </w:rPr>
        <w:t>PhilAtlas - Brgy. Malico, San Nicolas, Pangasinan</w:t>
      </w:r>
      <w:r>
        <w:rPr>
          <w:sz w:val="18"/>
        </w:rPr>
        <w:t xml:space="preserve">   &lt;https://www.philatlas.com/luzon/r01/pangasinan/san-nicolas/malico.html&gt;</w:t>
      </w:r>
    </w:p>
    <w:p>
      <w:r>
        <w:t xml:space="preserve">- </w:t>
      </w:r>
      <w:r>
        <w:rPr>
          <w:color w:val="1F6688"/>
          <w:u w:val="single"/>
        </w:rPr>
        <w:t>Municipality of San Nicolas official site</w:t>
      </w:r>
      <w:r>
        <w:rPr>
          <w:sz w:val="18"/>
        </w:rPr>
        <w:t xml:space="preserve">   &lt;https://sannicolaspangasinan.gov.ph/malico/&gt;</w:t>
      </w:r>
    </w:p>
    <w:p/>
    <w:p/>
    <w:p>
      <w:pPr>
        <w:pStyle w:val="Heading1"/>
      </w:pPr>
      <w:r>
        <w:rPr>
          <w:color w:val="1F6688"/>
        </w:rPr>
        <w:t>3. Technology Stack</w:t>
      </w:r>
    </w:p>
    <w:p>
      <w:r>
        <w:rPr>
          <w:b w:val="0"/>
          <w:i w:val="0"/>
          <w:color w:val="1A1F2B"/>
        </w:rPr>
        <w:t>The project was deliberately built on open, scriptable, free-of-key tools. The original thesis brief mentioned OpenLISEM and QGIS as the reference toolchain; this implementation reproduces every needed output in Python so the entire pipeline can be re-run from config.yaml alone without manual GIS work. QGIS and OpenLISEM remain documented as *optional* for thesis-defense compatibility (see docs/TOOLS_SETUP.md).</w:t>
      </w:r>
    </w:p>
    <w:tbl>
      <w:tblPr>
        <w:tblStyle w:val="LightList-Accent1"/>
        <w:tblW w:type="auto" w:w="0"/>
        <w:tblLook w:firstColumn="1" w:firstRow="1" w:lastColumn="0" w:lastRow="0" w:noHBand="0" w:noVBand="1" w:val="04A0"/>
      </w:tblPr>
      <w:tblGrid>
        <w:gridCol w:w="4320"/>
        <w:gridCol w:w="4320"/>
      </w:tblGrid>
      <w:tr>
        <w:tc>
          <w:tcPr>
            <w:tcW w:type="dxa" w:w="3118"/>
            <w:shd w:val="clear" w:color="auto" w:fill="1F6688"/>
          </w:tcPr>
          <w:p>
            <w:r>
              <w:rPr>
                <w:b/>
                <w:color w:val="FFFFFF"/>
              </w:rPr>
              <w:t>Component</w:t>
            </w:r>
          </w:p>
        </w:tc>
        <w:tc>
          <w:tcPr>
            <w:tcW w:type="dxa" w:w="5953"/>
            <w:shd w:val="clear" w:color="auto" w:fill="1F6688"/>
          </w:tcPr>
          <w:p>
            <w:r>
              <w:rPr>
                <w:b/>
                <w:color w:val="FFFFFF"/>
              </w:rPr>
              <w:t>Choice</w:t>
            </w:r>
          </w:p>
        </w:tc>
      </w:tr>
      <w:tr>
        <w:tc>
          <w:tcPr>
            <w:tcW w:type="dxa" w:w="3118"/>
          </w:tcPr>
          <w:p>
            <w:r>
              <w:rPr>
                <w:b/>
              </w:rPr>
              <w:t>Pipeline language</w:t>
            </w:r>
          </w:p>
        </w:tc>
        <w:tc>
          <w:tcPr>
            <w:tcW w:type="dxa" w:w="5953"/>
          </w:tcPr>
          <w:p>
            <w:r>
              <w:t>Python 3.10 (CPython, Windows)</w:t>
            </w:r>
          </w:p>
        </w:tc>
      </w:tr>
      <w:tr>
        <w:tc>
          <w:tcPr>
            <w:tcW w:type="dxa" w:w="3118"/>
          </w:tcPr>
          <w:p>
            <w:r>
              <w:rPr>
                <w:b/>
              </w:rPr>
              <w:t>Numerical stack</w:t>
            </w:r>
          </w:p>
        </w:tc>
        <w:tc>
          <w:tcPr>
            <w:tcW w:type="dxa" w:w="5953"/>
          </w:tcPr>
          <w:p>
            <w:r>
              <w:t>numpy, scipy</w:t>
            </w:r>
          </w:p>
        </w:tc>
      </w:tr>
      <w:tr>
        <w:tc>
          <w:tcPr>
            <w:tcW w:type="dxa" w:w="3118"/>
          </w:tcPr>
          <w:p>
            <w:r>
              <w:rPr>
                <w:b/>
              </w:rPr>
              <w:t>Geospatial raster</w:t>
            </w:r>
          </w:p>
        </w:tc>
        <w:tc>
          <w:tcPr>
            <w:tcW w:type="dxa" w:w="5953"/>
          </w:tcPr>
          <w:p>
            <w:r>
              <w:t>rasterio (ships with its own GDAL - no system install)</w:t>
            </w:r>
          </w:p>
        </w:tc>
      </w:tr>
      <w:tr>
        <w:tc>
          <w:tcPr>
            <w:tcW w:type="dxa" w:w="3118"/>
          </w:tcPr>
          <w:p>
            <w:r>
              <w:rPr>
                <w:b/>
              </w:rPr>
              <w:t>Imaging</w:t>
            </w:r>
          </w:p>
        </w:tc>
        <w:tc>
          <w:tcPr>
            <w:tcW w:type="dxa" w:w="5953"/>
          </w:tcPr>
          <w:p>
            <w:r>
              <w:t>Pillow (PNG textures)</w:t>
            </w:r>
          </w:p>
        </w:tc>
      </w:tr>
      <w:tr>
        <w:tc>
          <w:tcPr>
            <w:tcW w:type="dxa" w:w="3118"/>
          </w:tcPr>
          <w:p>
            <w:r>
              <w:rPr>
                <w:b/>
              </w:rPr>
              <w:t>HTTP</w:t>
            </w:r>
          </w:p>
        </w:tc>
        <w:tc>
          <w:tcPr>
            <w:tcW w:type="dxa" w:w="5953"/>
          </w:tcPr>
          <w:p>
            <w:r>
              <w:t>requests (Overpass + Copernicus)</w:t>
            </w:r>
          </w:p>
        </w:tc>
      </w:tr>
      <w:tr>
        <w:tc>
          <w:tcPr>
            <w:tcW w:type="dxa" w:w="3118"/>
          </w:tcPr>
          <w:p>
            <w:r>
              <w:rPr>
                <w:b/>
              </w:rPr>
              <w:t>Config</w:t>
            </w:r>
          </w:p>
        </w:tc>
        <w:tc>
          <w:tcPr>
            <w:tcW w:type="dxa" w:w="5953"/>
          </w:tcPr>
          <w:p>
            <w:r>
              <w:t>PyYAML</w:t>
            </w:r>
          </w:p>
        </w:tc>
      </w:tr>
      <w:tr>
        <w:tc>
          <w:tcPr>
            <w:tcW w:type="dxa" w:w="3118"/>
          </w:tcPr>
          <w:p>
            <w:r>
              <w:rPr>
                <w:b/>
              </w:rPr>
              <w:t>Plotting</w:t>
            </w:r>
          </w:p>
        </w:tc>
        <w:tc>
          <w:tcPr>
            <w:tcW w:type="dxa" w:w="5953"/>
          </w:tcPr>
          <w:p>
            <w:r>
              <w:t>matplotlib (publication-ready figures)</w:t>
            </w:r>
          </w:p>
        </w:tc>
      </w:tr>
      <w:tr>
        <w:tc>
          <w:tcPr>
            <w:tcW w:type="dxa" w:w="3118"/>
          </w:tcPr>
          <w:p>
            <w:r>
              <w:rPr>
                <w:b/>
              </w:rPr>
              <w:t>Documentation</w:t>
            </w:r>
          </w:p>
        </w:tc>
        <w:tc>
          <w:tcPr>
            <w:tcW w:type="dxa" w:w="5953"/>
          </w:tcPr>
          <w:p>
            <w:r>
              <w:t>python-docx (this document)</w:t>
            </w:r>
          </w:p>
        </w:tc>
      </w:tr>
      <w:tr>
        <w:tc>
          <w:tcPr>
            <w:tcW w:type="dxa" w:w="3118"/>
          </w:tcPr>
          <w:p>
            <w:r>
              <w:rPr>
                <w:b/>
              </w:rPr>
              <w:t>3D viewer</w:t>
            </w:r>
          </w:p>
        </w:tc>
        <w:tc>
          <w:tcPr>
            <w:tcW w:type="dxa" w:w="5953"/>
          </w:tcPr>
          <w:p>
            <w:r>
              <w:t>Three.js r160 (WebGL, bundled offline in viewer/lib/)</w:t>
            </w:r>
          </w:p>
        </w:tc>
      </w:tr>
      <w:tr>
        <w:tc>
          <w:tcPr>
            <w:tcW w:type="dxa" w:w="3118"/>
          </w:tcPr>
          <w:p>
            <w:r>
              <w:rPr>
                <w:b/>
              </w:rPr>
              <w:t>2D minimap</w:t>
            </w:r>
          </w:p>
        </w:tc>
        <w:tc>
          <w:tcPr>
            <w:tcW w:type="dxa" w:w="5953"/>
          </w:tcPr>
          <w:p>
            <w:r>
              <w:t>Leaflet 1.9.4 (bundled offline; OSM tiles fetched at runtime)</w:t>
            </w:r>
          </w:p>
        </w:tc>
      </w:tr>
      <w:tr>
        <w:tc>
          <w:tcPr>
            <w:tcW w:type="dxa" w:w="3118"/>
          </w:tcPr>
          <w:p>
            <w:r>
              <w:rPr>
                <w:b/>
              </w:rPr>
              <w:t>Web protocol</w:t>
            </w:r>
          </w:p>
        </w:tc>
        <w:tc>
          <w:tcPr>
            <w:tcW w:type="dxa" w:w="5953"/>
          </w:tcPr>
          <w:p>
            <w:r>
              <w:t>Plain HTTP - python -m http.server 8000</w:t>
            </w:r>
          </w:p>
        </w:tc>
      </w:tr>
    </w:tbl>
    <w:p/>
    <w:p/>
    <w:p>
      <w:pPr>
        <w:pStyle w:val="Heading1"/>
      </w:pPr>
      <w:r>
        <w:rPr>
          <w:color w:val="1F6688"/>
        </w:rPr>
        <w:t>4. Development Process - stage by stage</w:t>
      </w:r>
    </w:p>
    <w:p>
      <w:r>
        <w:rPr>
          <w:b w:val="0"/>
          <w:i w:val="0"/>
          <w:color w:val="1A1F2B"/>
        </w:rPr>
        <w:t>The pipeline is structured as an ordered list of idempotent stages under the landslide/ Python package. Each stage reads from data/raw/ or data/processed/, performs a single well-defined computation, and writes to data/processed/ or data/outputs/. The orchestrator run_pipeline.py runs them in sequence and writes a manifest at the end. Stages can also be executed in isolation (--only stage) or partially (--from stage) to support fast iteration.</w:t>
      </w:r>
    </w:p>
    <w:p>
      <w:r>
        <w:rPr>
          <w:b/>
          <w:i w:val="0"/>
          <w:color w:val="B24A2A"/>
          <w:sz w:val="24"/>
        </w:rPr>
        <w:t>Stage 1 - download</w:t>
      </w:r>
    </w:p>
    <w:p>
      <w:r>
        <w:rPr>
          <w:b w:val="0"/>
          <w:i/>
          <w:color w:val="556072"/>
          <w:sz w:val="20"/>
        </w:rPr>
        <w:t>Files: landslide/download.py</w:t>
      </w:r>
    </w:p>
    <w:p>
      <w:r>
        <w:rPr>
          <w:b w:val="0"/>
          <w:i w:val="0"/>
          <w:color w:val="1A1F2B"/>
        </w:rPr>
        <w:t>Streams the Copernicus GLO-30 DEM tile N16 E120 (32.4 MB) from the AWS Open Data public bucket to data/raw/. No API key. Idempotent: the file is skipped if already present.</w:t>
      </w:r>
    </w:p>
    <w:p>
      <w:pPr>
        <w:ind w:left="340"/>
      </w:pPr>
      <w:r>
        <w:rPr>
          <w:rFonts w:ascii="Consolas" w:hAnsi="Consolas"/>
          <w:rFonts w:ascii="Consolas" w:hAnsi="Consolas"/>
          <w:color w:val="1A1F2B"/>
          <w:sz w:val="19"/>
        </w:rPr>
        <w:t>Input:  https://copernicus-dem-30m.s3.amazonaws.com/...DEM.tif</w:t>
        <w:br/>
        <w:t>Output: data/raw/Copernicus_DSM_COG_10_N16_00_E120_00_DEM.tif</w:t>
      </w:r>
    </w:p>
    <w:p/>
    <w:p>
      <w:r>
        <w:rPr>
          <w:b/>
          <w:i w:val="0"/>
          <w:color w:val="B24A2A"/>
          <w:sz w:val="24"/>
        </w:rPr>
        <w:t>Stage 2 - terrain</w:t>
      </w:r>
    </w:p>
    <w:p>
      <w:r>
        <w:rPr>
          <w:b w:val="0"/>
          <w:i/>
          <w:color w:val="556072"/>
          <w:sz w:val="20"/>
        </w:rPr>
        <w:t>Files: landslide/terrain.py</w:t>
      </w:r>
    </w:p>
    <w:p>
      <w:r>
        <w:rPr>
          <w:b w:val="0"/>
          <w:i w:val="0"/>
          <w:color w:val="1A1F2B"/>
        </w:rPr>
        <w:t>Reads a buffered window (+0.015 deg margin) around the AOI from the COG, reprojects to UTM Zone 51N (EPSG:32651) with bilinear resampling, then crops to the exact AOI in UTM coordinates. The buffered read avoids the no-data corner artefacts that appear when a lat/lon AOI box is reprojected to a planar grid. Slope and aspect are computed from a finite-difference gradient; hillshade uses the standard USGS azimuth-315 deg / altitude-45 deg formula.</w:t>
      </w:r>
    </w:p>
    <w:p>
      <w:pPr>
        <w:ind w:left="340"/>
      </w:pPr>
      <w:r>
        <w:rPr>
          <w:rFonts w:ascii="Consolas" w:hAnsi="Consolas"/>
          <w:rFonts w:ascii="Consolas" w:hAnsi="Consolas"/>
          <w:color w:val="1A1F2B"/>
          <w:sz w:val="19"/>
        </w:rPr>
        <w:t>Outputs: data/processed/dem.tif, slope.tif, aspect.tif, hillshade.tif, meta.json</w:t>
      </w:r>
    </w:p>
    <w:p/>
    <w:p>
      <w:r>
        <w:rPr>
          <w:b/>
          <w:i w:val="0"/>
          <w:color w:val="B24A2A"/>
          <w:sz w:val="24"/>
        </w:rPr>
        <w:t>Stage 3 - features</w:t>
      </w:r>
    </w:p>
    <w:p>
      <w:r>
        <w:rPr>
          <w:b w:val="0"/>
          <w:i/>
          <w:color w:val="556072"/>
          <w:sz w:val="20"/>
        </w:rPr>
        <w:t>Files: landslide/features.py</w:t>
      </w:r>
    </w:p>
    <w:p>
      <w:r>
        <w:rPr>
          <w:b w:val="0"/>
          <w:i w:val="0"/>
          <w:color w:val="1A1F2B"/>
        </w:rPr>
        <w:t>Queries the Overpass API for buildings, roads, waterways, places, POIs, peaks, landuse, and water bodies inside the AOI; and a separate query for administrative boundary relations (admin_level 6/8/9/10) in a slightly wider area so neighbouring barangays and municipalities are captured fully. Multipolygon outer rings are stitched from individual outer ways. All geometries are converted to the same UTM world grid as the terrain so the viewer can drape them on the DEM.</w:t>
      </w:r>
    </w:p>
    <w:p>
      <w:pPr>
        <w:ind w:left="340"/>
      </w:pPr>
      <w:r>
        <w:rPr>
          <w:rFonts w:ascii="Consolas" w:hAnsi="Consolas"/>
          <w:rFonts w:ascii="Consolas" w:hAnsi="Consolas"/>
          <w:color w:val="1A1F2B"/>
          <w:sz w:val="19"/>
        </w:rPr>
        <w:t>Cache:   data/raw/osm.json (355 KB), data/raw/osm_boundaries.json (266 KB)</w:t>
        <w:br/>
        <w:t>Outputs: data/processed/features.json, features.geojson</w:t>
      </w:r>
    </w:p>
    <w:p/>
    <w:p>
      <w:r>
        <w:rPr>
          <w:b/>
          <w:i w:val="0"/>
          <w:color w:val="B24A2A"/>
          <w:sz w:val="24"/>
        </w:rPr>
        <w:t>Stage 4 - hydrology</w:t>
      </w:r>
    </w:p>
    <w:p>
      <w:r>
        <w:rPr>
          <w:b w:val="0"/>
          <w:i/>
          <w:color w:val="556072"/>
          <w:sz w:val="20"/>
        </w:rPr>
        <w:t>Files: landslide/hydrology.py</w:t>
      </w:r>
    </w:p>
    <w:p>
      <w:r>
        <w:rPr>
          <w:b w:val="0"/>
          <w:i w:val="0"/>
          <w:color w:val="1A1F2B"/>
        </w:rPr>
        <w:t>Standard D8 flow direction (steepest descent over 8 neighbours), processed from highest to lowest elevation. Each cell contributes one unit upstream into its single downstream neighbour, giving a per-cell upstream contributing area. Cells above a threshold form the drainage channel network - where surface water and debris flow concentrate.</w:t>
      </w:r>
    </w:p>
    <w:p>
      <w:pPr>
        <w:ind w:left="340"/>
      </w:pPr>
      <w:r>
        <w:rPr>
          <w:rFonts w:ascii="Consolas" w:hAnsi="Consolas"/>
          <w:rFonts w:ascii="Consolas" w:hAnsi="Consolas"/>
          <w:color w:val="1A1F2B"/>
          <w:sz w:val="19"/>
        </w:rPr>
        <w:t>Outputs: data/processed/flowdir.tif, flowacc.tif, channels.tif</w:t>
      </w:r>
    </w:p>
    <w:p/>
    <w:p>
      <w:r>
        <w:rPr>
          <w:b/>
          <w:i w:val="0"/>
          <w:color w:val="B24A2A"/>
          <w:sz w:val="24"/>
        </w:rPr>
        <w:t>Stage 5 - scenarios</w:t>
      </w:r>
    </w:p>
    <w:p>
      <w:r>
        <w:rPr>
          <w:b w:val="0"/>
          <w:i/>
          <w:color w:val="556072"/>
          <w:sz w:val="20"/>
        </w:rPr>
        <w:t>Files: landslide/scenarios.py + susceptibility.py + runout.py</w:t>
      </w:r>
    </w:p>
    <w:p>
      <w:r>
        <w:rPr>
          <w:b w:val="0"/>
          <w:i w:val="0"/>
          <w:color w:val="1A1F2B"/>
        </w:rPr>
        <w:t>Runs the Factor-of-Safety + energy-line runout pair for four groundwater scenarios (Dry m=0.10, Normal m=0.40, Wet m=0.70, Extreme m=1.00) so the full seasonal envelope of slope stability is captured. Each scenario gets its own FS, susceptibility, and runout rasters under data/processed/scenarios/.</w:t>
      </w:r>
    </w:p>
    <w:p>
      <w:pPr>
        <w:ind w:left="340"/>
      </w:pPr>
      <w:r>
        <w:rPr>
          <w:rFonts w:ascii="Consolas" w:hAnsi="Consolas"/>
          <w:rFonts w:ascii="Consolas" w:hAnsi="Consolas"/>
          <w:color w:val="1A1F2B"/>
          <w:sz w:val="19"/>
        </w:rPr>
        <w:t>Outputs: scenarios/&lt;id&gt;/fs.tif, susc.tif, runout_*.tif</w:t>
      </w:r>
    </w:p>
    <w:p/>
    <w:p>
      <w:r>
        <w:rPr>
          <w:b/>
          <w:i w:val="0"/>
          <w:color w:val="B24A2A"/>
          <w:sz w:val="24"/>
        </w:rPr>
        <w:t>Stage 6 - exposure</w:t>
      </w:r>
    </w:p>
    <w:p>
      <w:r>
        <w:rPr>
          <w:b w:val="0"/>
          <w:i/>
          <w:color w:val="556072"/>
          <w:sz w:val="20"/>
        </w:rPr>
        <w:t>Files: landslide/exposure.py</w:t>
      </w:r>
    </w:p>
    <w:p>
      <w:r>
        <w:rPr>
          <w:b w:val="0"/>
          <w:i w:val="0"/>
          <w:color w:val="1A1F2B"/>
        </w:rPr>
        <w:t>Per-scenario intersection of the runout zone with OSM buildings (centroid-in-polygon test) and roads (segment-midpoint test, length accumulated in metres). This bridges the physical model to vulnerability discussion.</w:t>
      </w:r>
    </w:p>
    <w:p>
      <w:pPr>
        <w:ind w:left="340"/>
      </w:pPr>
      <w:r>
        <w:rPr>
          <w:rFonts w:ascii="Consolas" w:hAnsi="Consolas"/>
          <w:rFonts w:ascii="Consolas" w:hAnsi="Consolas"/>
          <w:color w:val="1A1F2B"/>
          <w:sz w:val="19"/>
        </w:rPr>
        <w:t>Output column: scenarios[scenario_id].exposure in terrain.json</w:t>
      </w:r>
    </w:p>
    <w:p/>
    <w:p>
      <w:r>
        <w:rPr>
          <w:b/>
          <w:i w:val="0"/>
          <w:color w:val="B24A2A"/>
          <w:sz w:val="24"/>
        </w:rPr>
        <w:t>Stage 7 - export</w:t>
      </w:r>
    </w:p>
    <w:p>
      <w:r>
        <w:rPr>
          <w:b w:val="0"/>
          <w:i/>
          <w:color w:val="556072"/>
          <w:sz w:val="20"/>
        </w:rPr>
        <w:t>Files: landslide/export_web.py</w:t>
      </w:r>
    </w:p>
    <w:p>
      <w:r>
        <w:rPr>
          <w:b w:val="0"/>
          <w:i w:val="0"/>
          <w:color w:val="1A1F2B"/>
        </w:rPr>
        <w:t>Builds the 3D-viewer assets: a Float32 elevation grid (terrain.bin, little-endian), per-layer RGBA PNG textures (hillshade, slope, channels, satellite, plus per-scenario susceptibility and runout), and a metadata JSON (terrain.json) with the layer legends, scenario stats, and exposure. The OSM features.json is copied alongside. Eight publication-ready matplotlib thesis figures are also rendered to docs/figures/.</w:t>
      </w:r>
    </w:p>
    <w:p>
      <w:pPr>
        <w:ind w:left="340"/>
      </w:pPr>
      <w:r>
        <w:rPr>
          <w:rFonts w:ascii="Consolas" w:hAnsi="Consolas"/>
          <w:rFonts w:ascii="Consolas" w:hAnsi="Consolas"/>
          <w:color w:val="1A1F2B"/>
          <w:sz w:val="19"/>
        </w:rPr>
        <w:t>Outputs: viewer/data/* (terrain.bin, terrain.json, tex_*.png, features.json)</w:t>
        <w:br/>
        <w:t xml:space="preserve">         docs/figures/*.png</w:t>
      </w:r>
    </w:p>
    <w:p/>
    <w:p>
      <w:r>
        <w:rPr>
          <w:b/>
          <w:i w:val="0"/>
          <w:color w:val="B24A2A"/>
          <w:sz w:val="24"/>
        </w:rPr>
        <w:t>Stage 8 - diagnostics</w:t>
      </w:r>
    </w:p>
    <w:p>
      <w:r>
        <w:rPr>
          <w:b w:val="0"/>
          <w:i/>
          <w:color w:val="556072"/>
          <w:sz w:val="20"/>
        </w:rPr>
        <w:t>Files: landslide/diagnostics.py</w:t>
      </w:r>
    </w:p>
    <w:p>
      <w:r>
        <w:rPr>
          <w:b w:val="0"/>
          <w:i w:val="0"/>
          <w:color w:val="1A1F2B"/>
        </w:rPr>
        <w:t>Sanity-checks every output. Verifies that rasters are not all NaN, that exposure percentages are in [0, 100], that the manifest captures every produced file, etc. Writes a green/red report.</w:t>
      </w:r>
    </w:p>
    <w:p>
      <w:pPr>
        <w:ind w:left="340"/>
      </w:pPr>
      <w:r>
        <w:rPr>
          <w:rFonts w:ascii="Consolas" w:hAnsi="Consolas"/>
          <w:rFonts w:ascii="Consolas" w:hAnsi="Consolas"/>
          <w:color w:val="1A1F2B"/>
          <w:sz w:val="19"/>
        </w:rPr>
        <w:t>Output: console log (no file)</w:t>
      </w:r>
    </w:p>
    <w:p/>
    <w:p>
      <w:r>
        <w:rPr>
          <w:b/>
          <w:i w:val="0"/>
          <w:color w:val="B24A2A"/>
          <w:sz w:val="24"/>
        </w:rPr>
        <w:t>Stage 9 - 3D viewer</w:t>
      </w:r>
    </w:p>
    <w:p>
      <w:r>
        <w:rPr>
          <w:b w:val="0"/>
          <w:i/>
          <w:color w:val="556072"/>
          <w:sz w:val="20"/>
        </w:rPr>
        <w:t>Files: viewer/main.js + viewer/index.html + viewer/style.css</w:t>
      </w:r>
    </w:p>
    <w:p>
      <w:r>
        <w:rPr>
          <w:b w:val="0"/>
          <w:i w:val="0"/>
          <w:color w:val="1A1F2B"/>
        </w:rPr>
        <w:t>Self-contained Three.js + WebGL app. Loads terrain.bin (Float32Array), terrain.json (metadata), the layer textures, and features.json. Constructs an indexed BufferGeometry with custom UVs from the elevation grid, a dark skirt mesh from the edge loop, and a marker pole + label sprite for Brgy. Malico. Vertical exaggeration is applied via group.scale.y with a counter-scale on the marker so it stays the right size. Plain-white-terrain mode (default) renders the model without any hazard overlay for clean thesis figures; hazard layers are still selectable.</w:t>
      </w:r>
    </w:p>
    <w:p>
      <w:pPr>
        <w:ind w:left="340"/>
      </w:pPr>
      <w:r>
        <w:rPr>
          <w:rFonts w:ascii="Consolas" w:hAnsi="Consolas"/>
          <w:rFonts w:ascii="Consolas" w:hAnsi="Consolas"/>
          <w:color w:val="1A1F2B"/>
          <w:sz w:val="19"/>
        </w:rPr>
        <w:t>Outputs: rendered in-browser at http://localhost:8000/viewer/</w:t>
      </w:r>
    </w:p>
    <w:p/>
    <w:p>
      <w:r>
        <w:rPr>
          <w:b/>
          <w:i w:val="0"/>
          <w:color w:val="B24A2A"/>
          <w:sz w:val="24"/>
        </w:rPr>
        <w:t>Stage 10 - administrative boundaries</w:t>
      </w:r>
    </w:p>
    <w:p>
      <w:r>
        <w:rPr>
          <w:b w:val="0"/>
          <w:i/>
          <w:color w:val="556072"/>
          <w:sz w:val="20"/>
        </w:rPr>
        <w:t>Files: landslide/features.py (boundary query) + viewer/main.js (buildBoundaries)</w:t>
      </w:r>
    </w:p>
    <w:p>
      <w:r>
        <w:rPr>
          <w:b w:val="0"/>
          <w:i w:val="0"/>
          <w:color w:val="1A1F2B"/>
        </w:rPr>
        <w:t>Boundary relations from OSM (admin_level 6 = municipality, 10 = barangay) are stitched into closed polygons and rendered in 3D as low-elevation 'sakop' walls draped on the terrain. The boundary of Brgy. Malico itself is *absent* from OSM due to a documented inter-provincial dispute, so what appears in 3D is the surrounding San Nicolas municipality boundary that crosses the AOI. Each boundary gets a distinct hue (golden-angle increment) shared with the Leaflet view.</w:t>
      </w:r>
    </w:p>
    <w:p>
      <w:pPr>
        <w:ind w:left="340"/>
      </w:pPr>
      <w:r>
        <w:rPr>
          <w:rFonts w:ascii="Consolas" w:hAnsi="Consolas"/>
          <w:rFonts w:ascii="Consolas" w:hAnsi="Consolas"/>
          <w:color w:val="1A1F2B"/>
          <w:sz w:val="19"/>
        </w:rPr>
        <w:t>Output: features.boundaries[] array (24 boundary polygons in latest run)</w:t>
      </w:r>
    </w:p>
    <w:p/>
    <w:p>
      <w:r>
        <w:rPr>
          <w:b/>
          <w:i w:val="0"/>
          <w:color w:val="B24A2A"/>
          <w:sz w:val="24"/>
        </w:rPr>
        <w:t>Stage 11 - 2D Leaflet minimap</w:t>
      </w:r>
    </w:p>
    <w:p>
      <w:r>
        <w:rPr>
          <w:b w:val="0"/>
          <w:i/>
          <w:color w:val="556072"/>
          <w:sz w:val="20"/>
        </w:rPr>
        <w:t>Files: viewer/index.html + viewer/main.js (buildMinimap)</w:t>
      </w:r>
    </w:p>
    <w:p>
      <w:r>
        <w:rPr>
          <w:b w:val="0"/>
          <w:i w:val="0"/>
          <w:color w:val="1A1F2B"/>
        </w:rPr>
        <w:t>A toggleable 460x380 panel (default on) showing the AOI rectangle and every fetched OSM feature on top of standard OpenStreetMap raster tiles. Provides street-level detail that the offline 3D model cannot show (every footpath, named feature, etc.). Leaflet 1.9.4 is bundled in viewer/lib/; only the tile imagery is fetched at runtime from tile.openstreetmap.org.</w:t>
      </w:r>
    </w:p>
    <w:p>
      <w:pPr>
        <w:ind w:left="340"/>
      </w:pPr>
      <w:r>
        <w:rPr>
          <w:rFonts w:ascii="Consolas" w:hAnsi="Consolas"/>
          <w:rFonts w:ascii="Consolas" w:hAnsi="Consolas"/>
          <w:color w:val="1A1F2B"/>
          <w:sz w:val="19"/>
        </w:rPr>
        <w:t>Output: rendered in browser, requires internet for tiles</w:t>
      </w:r>
    </w:p>
    <w:p/>
    <w:p/>
    <w:p/>
    <w:p>
      <w:pPr>
        <w:pStyle w:val="Heading1"/>
      </w:pPr>
      <w:r>
        <w:rPr>
          <w:color w:val="1F6688"/>
        </w:rPr>
        <w:t>5. Scientific Methodology</w:t>
      </w:r>
    </w:p>
    <w:p>
      <w:r>
        <w:rPr>
          <w:b/>
          <w:i w:val="0"/>
          <w:color w:val="B24A2A"/>
          <w:sz w:val="24"/>
        </w:rPr>
        <w:t>5.1 Infinite-slope Factor of Safety</w:t>
      </w:r>
    </w:p>
    <w:p>
      <w:r>
        <w:rPr>
          <w:b w:val="0"/>
          <w:i w:val="0"/>
          <w:color w:val="1A1F2B"/>
        </w:rPr>
        <w:t>The canonical physically-based model for shallow, translational landslides on long uniform slopes. A continuous Factor of Safety (FS) is computed per cell, then binned into five hazard classes.</w:t>
      </w:r>
    </w:p>
    <w:p>
      <w:pPr>
        <w:ind w:left="340"/>
      </w:pPr>
      <w:r>
        <w:rPr>
          <w:rFonts w:ascii="Consolas" w:hAnsi="Consolas"/>
          <w:rFonts w:ascii="Consolas" w:hAnsi="Consolas"/>
          <w:color w:val="1A1F2B"/>
          <w:sz w:val="19"/>
        </w:rPr>
        <w:t xml:space="preserve">       c' + (gamma - m * gamma_w) * z * cos^2(beta) * tan(phi')</w:t>
        <w:br/>
        <w:t>FS = ------------------------------------------------------------</w:t>
        <w:br/>
        <w:t xml:space="preserve">                gamma * z * sin(beta) * cos(beta)</w:t>
      </w:r>
    </w:p>
    <w:p>
      <w:r>
        <w:rPr>
          <w:b w:val="0"/>
          <w:i w:val="0"/>
          <w:color w:val="1A1F2B"/>
        </w:rPr>
        <w:t>FS &lt; 1 means the driving shear stress exceeds the available shear strength - the slope is theoretically unstable. Class breaks follow standard practice: 2.0 / 1.5 / 1.25 / 1.0 split the model into Very Low / Low / Moderate / High / Very High susceptibility.</w:t>
      </w:r>
    </w:p>
    <w:tbl>
      <w:tblPr>
        <w:tblStyle w:val="LightList-Accent1"/>
        <w:tblW w:type="auto" w:w="0"/>
        <w:tblLook w:firstColumn="1" w:firstRow="1" w:lastColumn="0" w:lastRow="0" w:noHBand="0" w:noVBand="1" w:val="04A0"/>
      </w:tblPr>
      <w:tblGrid>
        <w:gridCol w:w="4320"/>
        <w:gridCol w:w="4320"/>
      </w:tblGrid>
      <w:tr>
        <w:tc>
          <w:tcPr>
            <w:tcW w:type="dxa" w:w="3969"/>
            <w:shd w:val="clear" w:color="auto" w:fill="1F6688"/>
          </w:tcPr>
          <w:p>
            <w:r>
              <w:rPr>
                <w:b/>
                <w:color w:val="FFFFFF"/>
              </w:rPr>
              <w:t>Symbol</w:t>
            </w:r>
          </w:p>
        </w:tc>
        <w:tc>
          <w:tcPr>
            <w:tcW w:type="dxa" w:w="5102"/>
            <w:shd w:val="clear" w:color="auto" w:fill="1F6688"/>
          </w:tcPr>
          <w:p>
            <w:r>
              <w:rPr>
                <w:b/>
                <w:color w:val="FFFFFF"/>
              </w:rPr>
              <w:t>Value</w:t>
            </w:r>
          </w:p>
        </w:tc>
      </w:tr>
      <w:tr>
        <w:tc>
          <w:tcPr>
            <w:tcW w:type="dxa" w:w="3969"/>
          </w:tcPr>
          <w:p>
            <w:r>
              <w:rPr>
                <w:b/>
              </w:rPr>
              <w:t>c'    Effective cohesion</w:t>
            </w:r>
          </w:p>
        </w:tc>
        <w:tc>
          <w:tcPr>
            <w:tcW w:type="dxa" w:w="5102"/>
          </w:tcPr>
          <w:p>
            <w:r>
              <w:t>5.0 kPa</w:t>
            </w:r>
          </w:p>
        </w:tc>
      </w:tr>
      <w:tr>
        <w:tc>
          <w:tcPr>
            <w:tcW w:type="dxa" w:w="3969"/>
          </w:tcPr>
          <w:p>
            <w:r>
              <w:rPr>
                <w:b/>
              </w:rPr>
              <w:t>phi'  Effective friction angle</w:t>
            </w:r>
          </w:p>
        </w:tc>
        <w:tc>
          <w:tcPr>
            <w:tcW w:type="dxa" w:w="5102"/>
          </w:tcPr>
          <w:p>
            <w:r>
              <w:t>30.0 deg</w:t>
            </w:r>
          </w:p>
        </w:tc>
      </w:tr>
      <w:tr>
        <w:tc>
          <w:tcPr>
            <w:tcW w:type="dxa" w:w="3969"/>
          </w:tcPr>
          <w:p>
            <w:r>
              <w:rPr>
                <w:b/>
              </w:rPr>
              <w:t>gamma Soil unit weight</w:t>
            </w:r>
          </w:p>
        </w:tc>
        <w:tc>
          <w:tcPr>
            <w:tcW w:type="dxa" w:w="5102"/>
          </w:tcPr>
          <w:p>
            <w:r>
              <w:t>18.0 kN/m^3</w:t>
            </w:r>
          </w:p>
        </w:tc>
      </w:tr>
      <w:tr>
        <w:tc>
          <w:tcPr>
            <w:tcW w:type="dxa" w:w="3969"/>
          </w:tcPr>
          <w:p>
            <w:r>
              <w:rPr>
                <w:b/>
              </w:rPr>
              <w:t>gamma_w Water unit weight</w:t>
            </w:r>
          </w:p>
        </w:tc>
        <w:tc>
          <w:tcPr>
            <w:tcW w:type="dxa" w:w="5102"/>
          </w:tcPr>
          <w:p>
            <w:r>
              <w:t>9.81 kN/m^3</w:t>
            </w:r>
          </w:p>
        </w:tc>
      </w:tr>
      <w:tr>
        <w:tc>
          <w:tcPr>
            <w:tcW w:type="dxa" w:w="3969"/>
          </w:tcPr>
          <w:p>
            <w:r>
              <w:rPr>
                <w:b/>
              </w:rPr>
              <w:t>z     Depth to failure plane</w:t>
            </w:r>
          </w:p>
        </w:tc>
        <w:tc>
          <w:tcPr>
            <w:tcW w:type="dxa" w:w="5102"/>
          </w:tcPr>
          <w:p>
            <w:r>
              <w:t>2.0 m</w:t>
            </w:r>
          </w:p>
        </w:tc>
      </w:tr>
      <w:tr>
        <w:tc>
          <w:tcPr>
            <w:tcW w:type="dxa" w:w="3969"/>
          </w:tcPr>
          <w:p>
            <w:r>
              <w:rPr>
                <w:b/>
              </w:rPr>
              <w:t>m     Groundwater ratio</w:t>
            </w:r>
          </w:p>
        </w:tc>
        <w:tc>
          <w:tcPr>
            <w:tcW w:type="dxa" w:w="5102"/>
          </w:tcPr>
          <w:p>
            <w:r>
              <w:t>0.5 (default); per-scenario varies</w:t>
            </w:r>
          </w:p>
        </w:tc>
      </w:tr>
      <w:tr>
        <w:tc>
          <w:tcPr>
            <w:tcW w:type="dxa" w:w="3969"/>
          </w:tcPr>
          <w:p>
            <w:r>
              <w:rPr>
                <w:b/>
              </w:rPr>
              <w:t>beta  Slope angle</w:t>
            </w:r>
          </w:p>
        </w:tc>
        <w:tc>
          <w:tcPr>
            <w:tcW w:type="dxa" w:w="5102"/>
          </w:tcPr>
          <w:p>
            <w:r>
              <w:t>per-cell from DEM</w:t>
            </w:r>
          </w:p>
        </w:tc>
      </w:tr>
    </w:tbl>
    <w:p>
      <w:r>
        <w:rPr>
          <w:b/>
          <w:i w:val="0"/>
          <w:color w:val="B24A2A"/>
          <w:sz w:val="24"/>
        </w:rPr>
        <w:t>5.2 Rainfall scenarios</w:t>
      </w:r>
    </w:p>
    <w:p>
      <w:r>
        <w:rPr>
          <w:b w:val="0"/>
          <w:i w:val="0"/>
          <w:color w:val="1A1F2B"/>
        </w:rPr>
        <w:t>The pipeline runs the FS + runout pair for four hydrological scenarios so the seasonal envelope of slope-stability is captured.</w:t>
      </w:r>
    </w:p>
    <w:tbl>
      <w:tblPr>
        <w:tblStyle w:val="LightList-Accent1"/>
        <w:tblW w:type="auto" w:w="0"/>
        <w:tblLook w:firstColumn="1" w:firstRow="1" w:lastColumn="0" w:lastRow="0" w:noHBand="0" w:noVBand="1" w:val="04A0"/>
      </w:tblPr>
      <w:tblGrid>
        <w:gridCol w:w="4320"/>
        <w:gridCol w:w="4320"/>
      </w:tblGrid>
      <w:tr>
        <w:tc>
          <w:tcPr>
            <w:tcW w:type="dxa" w:w="1984"/>
            <w:shd w:val="clear" w:color="auto" w:fill="1F6688"/>
          </w:tcPr>
          <w:p>
            <w:r>
              <w:rPr>
                <w:b/>
                <w:color w:val="FFFFFF"/>
              </w:rPr>
              <w:t>Scenario</w:t>
            </w:r>
          </w:p>
        </w:tc>
        <w:tc>
          <w:tcPr>
            <w:tcW w:type="dxa" w:w="7087"/>
            <w:shd w:val="clear" w:color="auto" w:fill="1F6688"/>
          </w:tcPr>
          <w:p>
            <w:r>
              <w:rPr>
                <w:b/>
                <w:color w:val="FFFFFF"/>
              </w:rPr>
              <w:t>Physical meaning</w:t>
            </w:r>
          </w:p>
        </w:tc>
      </w:tr>
      <w:tr>
        <w:tc>
          <w:tcPr>
            <w:tcW w:type="dxa" w:w="1984"/>
          </w:tcPr>
          <w:p>
            <w:r>
              <w:rPr>
                <w:b/>
              </w:rPr>
              <w:t>Dry</w:t>
            </w:r>
          </w:p>
        </w:tc>
        <w:tc>
          <w:tcPr>
            <w:tcW w:type="dxa" w:w="7087"/>
          </w:tcPr>
          <w:p>
            <w:r>
              <w:t>m = 0.10 - long dry season, water table far below failure plane</w:t>
            </w:r>
          </w:p>
        </w:tc>
      </w:tr>
      <w:tr>
        <w:tc>
          <w:tcPr>
            <w:tcW w:type="dxa" w:w="1984"/>
          </w:tcPr>
          <w:p>
            <w:r>
              <w:rPr>
                <w:b/>
              </w:rPr>
              <w:t>Normal</w:t>
            </w:r>
          </w:p>
        </w:tc>
        <w:tc>
          <w:tcPr>
            <w:tcW w:type="dxa" w:w="7087"/>
          </w:tcPr>
          <w:p>
            <w:r>
              <w:t>m = 0.40 - typical post-rain conditions</w:t>
            </w:r>
          </w:p>
        </w:tc>
      </w:tr>
      <w:tr>
        <w:tc>
          <w:tcPr>
            <w:tcW w:type="dxa" w:w="1984"/>
          </w:tcPr>
          <w:p>
            <w:r>
              <w:rPr>
                <w:b/>
              </w:rPr>
              <w:t>Wet</w:t>
            </w:r>
          </w:p>
        </w:tc>
        <w:tc>
          <w:tcPr>
            <w:tcW w:type="dxa" w:w="7087"/>
          </w:tcPr>
          <w:p>
            <w:r>
              <w:t>m = 0.70 - sustained rainy season, soils near saturated</w:t>
            </w:r>
          </w:p>
        </w:tc>
      </w:tr>
      <w:tr>
        <w:tc>
          <w:tcPr>
            <w:tcW w:type="dxa" w:w="1984"/>
          </w:tcPr>
          <w:p>
            <w:r>
              <w:rPr>
                <w:b/>
              </w:rPr>
              <w:t>Extreme</w:t>
            </w:r>
          </w:p>
        </w:tc>
        <w:tc>
          <w:tcPr>
            <w:tcW w:type="dxa" w:w="7087"/>
          </w:tcPr>
          <w:p>
            <w:r>
              <w:t>m = 1.00 - typhoon / convective downpour, full saturation</w:t>
            </w:r>
          </w:p>
        </w:tc>
      </w:tr>
    </w:tbl>
    <w:p>
      <w:r>
        <w:rPr>
          <w:b/>
          <w:i w:val="0"/>
          <w:color w:val="B24A2A"/>
          <w:sz w:val="24"/>
        </w:rPr>
        <w:t>5.3 Energy-line runout (Fahrboeschung)</w:t>
      </w:r>
    </w:p>
    <w:p>
      <w:r>
        <w:rPr>
          <w:b w:val="0"/>
          <w:i w:val="0"/>
          <w:color w:val="1A1F2B"/>
        </w:rPr>
        <w:t>Implements the energy-line model used regionally by Flow-R (Horton et al., 2013). The procedure is:</w:t>
      </w:r>
    </w:p>
    <w:p>
      <w:pPr>
        <w:pStyle w:val="ListNumber"/>
      </w:pPr>
      <w:r>
        <w:t>Source cells = unstable (FS &lt; 1.0) AND steep (slope &gt; 30.0 deg).</w:t>
      </w:r>
    </w:p>
    <w:p>
      <w:pPr>
        <w:pStyle w:val="ListNumber"/>
      </w:pPr>
      <w:r>
        <w:t>Cells are processed top-down; flow is split across downhill neighbours by drop (multiple-flow direction).</w:t>
      </w:r>
    </w:p>
    <w:p>
      <w:pPr>
        <w:pStyle w:val="ListNumber"/>
      </w:pPr>
      <w:r>
        <w:t>A neighbour receives flow only while it lies below the energy line z_line = z_source - tan(alpha) * d_path, with reach angle alpha = 26.0 deg.</w:t>
      </w:r>
    </w:p>
    <w:p>
      <w:pPr>
        <w:pStyle w:val="ListNumber"/>
      </w:pPr>
      <w:r>
        <w:t>Deposition is recorded where the energy line catches the terrain or where no downhill neighbour remains.</w:t>
      </w:r>
    </w:p>
    <w:p/>
    <w:p/>
    <w:p>
      <w:pPr>
        <w:pStyle w:val="Heading1"/>
      </w:pPr>
      <w:r>
        <w:rPr>
          <w:color w:val="1F6688"/>
        </w:rPr>
        <w:t>6. Data Sources (with provenance + URLs)</w:t>
      </w:r>
    </w:p>
    <w:p>
      <w:pPr>
        <w:spacing w:after="120"/>
      </w:pPr>
      <w:r>
        <w:rPr>
          <w:b w:val="0"/>
          <w:i w:val="0"/>
          <w:color w:val="1A1F2B"/>
        </w:rPr>
        <w:t>Every dataset feeding the pipeline is publicly accessible, openly licensed, and citable. The full source URLs below let any reviewer fetch the exact bytes used and verify the analysis from scratch.</w:t>
      </w:r>
    </w:p>
    <w:p>
      <w:r>
        <w:rPr>
          <w:b/>
          <w:i w:val="0"/>
          <w:color w:val="B24A2A"/>
          <w:sz w:val="24"/>
        </w:rPr>
        <w:t>6.1 Copernicus GLO-30 Digital Surface Model (primary terrain)</w:t>
      </w:r>
    </w:p>
    <w:tbl>
      <w:tblPr>
        <w:tblStyle w:val="LightList-Accent1"/>
        <w:tblW w:type="auto" w:w="0"/>
        <w:tblLook w:firstColumn="1" w:firstRow="1" w:lastColumn="0" w:lastRow="0" w:noHBand="0" w:noVBand="1" w:val="04A0"/>
      </w:tblPr>
      <w:tblGrid>
        <w:gridCol w:w="4320"/>
        <w:gridCol w:w="4320"/>
      </w:tblGrid>
      <w:tr>
        <w:tc>
          <w:tcPr>
            <w:tcW w:type="dxa" w:w="2551"/>
            <w:shd w:val="clear" w:color="auto" w:fill="1F6688"/>
          </w:tcPr>
          <w:p>
            <w:r>
              <w:rPr>
                <w:b/>
                <w:color w:val="FFFFFF"/>
              </w:rPr>
              <w:t>Field</w:t>
            </w:r>
          </w:p>
        </w:tc>
        <w:tc>
          <w:tcPr>
            <w:tcW w:type="dxa" w:w="6520"/>
            <w:shd w:val="clear" w:color="auto" w:fill="1F6688"/>
          </w:tcPr>
          <w:p>
            <w:r>
              <w:rPr>
                <w:b/>
                <w:color w:val="FFFFFF"/>
              </w:rPr>
              <w:t>Value</w:t>
            </w:r>
          </w:p>
        </w:tc>
      </w:tr>
      <w:tr>
        <w:tc>
          <w:tcPr>
            <w:tcW w:type="dxa" w:w="2551"/>
          </w:tcPr>
          <w:p>
            <w:r>
              <w:rPr>
                <w:b/>
              </w:rPr>
              <w:t>Producer</w:t>
            </w:r>
          </w:p>
        </w:tc>
        <w:tc>
          <w:tcPr>
            <w:tcW w:type="dxa" w:w="6520"/>
          </w:tcPr>
          <w:p>
            <w:r>
              <w:t>European Space Agency (ESA), Copernicus programme, processed by Airbus</w:t>
            </w:r>
          </w:p>
        </w:tc>
      </w:tr>
      <w:tr>
        <w:tc>
          <w:tcPr>
            <w:tcW w:type="dxa" w:w="2551"/>
          </w:tcPr>
          <w:p>
            <w:r>
              <w:rPr>
                <w:b/>
              </w:rPr>
              <w:t>Resolution</w:t>
            </w:r>
          </w:p>
        </w:tc>
        <w:tc>
          <w:tcPr>
            <w:tcW w:type="dxa" w:w="6520"/>
          </w:tcPr>
          <w:p>
            <w:r>
              <w:t>30 m (1 arc-second), global coverage</w:t>
            </w:r>
          </w:p>
        </w:tc>
      </w:tr>
      <w:tr>
        <w:tc>
          <w:tcPr>
            <w:tcW w:type="dxa" w:w="2551"/>
          </w:tcPr>
          <w:p>
            <w:r>
              <w:rPr>
                <w:b/>
              </w:rPr>
              <w:t>Tile used</w:t>
            </w:r>
          </w:p>
        </w:tc>
        <w:tc>
          <w:tcPr>
            <w:tcW w:type="dxa" w:w="6520"/>
          </w:tcPr>
          <w:p>
            <w:r>
              <w:t>N16 E120 (1 deg x 1 deg covering the AOI)</w:t>
            </w:r>
          </w:p>
        </w:tc>
      </w:tr>
      <w:tr>
        <w:tc>
          <w:tcPr>
            <w:tcW w:type="dxa" w:w="2551"/>
          </w:tcPr>
          <w:p>
            <w:r>
              <w:rPr>
                <w:b/>
              </w:rPr>
              <w:t>Vertical acc.</w:t>
            </w:r>
          </w:p>
        </w:tc>
        <w:tc>
          <w:tcPr>
            <w:tcW w:type="dxa" w:w="6520"/>
          </w:tcPr>
          <w:p>
            <w:r>
              <w:t>&lt; 4 m mean absolute error (Philippines region)</w:t>
            </w:r>
          </w:p>
        </w:tc>
      </w:tr>
      <w:tr>
        <w:tc>
          <w:tcPr>
            <w:tcW w:type="dxa" w:w="2551"/>
          </w:tcPr>
          <w:p>
            <w:r>
              <w:rPr>
                <w:b/>
              </w:rPr>
              <w:t>Licence</w:t>
            </w:r>
          </w:p>
        </w:tc>
        <w:tc>
          <w:tcPr>
            <w:tcW w:type="dxa" w:w="6520"/>
          </w:tcPr>
          <w:p>
            <w:r>
              <w:t>Free for any use under the Copernicus DEM EULA</w:t>
            </w:r>
          </w:p>
        </w:tc>
      </w:tr>
      <w:tr>
        <w:tc>
          <w:tcPr>
            <w:tcW w:type="dxa" w:w="2551"/>
          </w:tcPr>
          <w:p>
            <w:r>
              <w:rPr>
                <w:b/>
              </w:rPr>
              <w:t>Authority</w:t>
            </w:r>
          </w:p>
        </w:tc>
        <w:tc>
          <w:tcPr>
            <w:tcW w:type="dxa" w:w="6520"/>
          </w:tcPr>
          <w:p>
            <w:r>
              <w:t>European Space Agency - the official producer of Sentinel/Copernicus data</w:t>
            </w:r>
          </w:p>
        </w:tc>
      </w:tr>
      <w:tr>
        <w:tc>
          <w:tcPr>
            <w:tcW w:type="dxa" w:w="2551"/>
          </w:tcPr>
          <w:p>
            <w:r>
              <w:rPr>
                <w:b/>
              </w:rPr>
              <w:t>Hosting</w:t>
            </w:r>
          </w:p>
        </w:tc>
        <w:tc>
          <w:tcPr>
            <w:tcW w:type="dxa" w:w="6520"/>
          </w:tcPr>
          <w:p>
            <w:r>
              <w:t>AWS Open Data public bucket (no API key, anonymous HTTP)</w:t>
            </w:r>
          </w:p>
        </w:tc>
      </w:tr>
    </w:tbl>
    <w:p>
      <w:r>
        <w:rPr>
          <w:color w:val="1F6688"/>
          <w:u w:val="single"/>
        </w:rPr>
        <w:t>Copernicus DEM EULA + product page</w:t>
      </w:r>
      <w:r>
        <w:rPr>
          <w:sz w:val="18"/>
        </w:rPr>
        <w:t xml:space="preserve">   &lt;https://spacedata.copernicus.eu/collections/copernicus-digital-elevation-model&gt;</w:t>
      </w:r>
    </w:p>
    <w:p>
      <w:r>
        <w:rPr>
          <w:color w:val="1F6688"/>
          <w:u w:val="single"/>
        </w:rPr>
        <w:t>Exact tile fetched</w:t>
      </w:r>
      <w:r>
        <w:rPr>
          <w:sz w:val="18"/>
        </w:rPr>
        <w:t xml:space="preserve">   &lt;https://copernicus-dem-30m.s3.amazonaws.com/Copernicus_DSM_COG_10_N16_00_E120_00_DEM/Copernicus_DSM_COG_10_N16_00_E120_00_DEM.tif&gt;</w:t>
      </w:r>
    </w:p>
    <w:p>
      <w:r>
        <w:rPr>
          <w:color w:val="1F6688"/>
          <w:u w:val="single"/>
        </w:rPr>
        <w:t>OpenTopography catalog entry</w:t>
      </w:r>
      <w:r>
        <w:rPr>
          <w:sz w:val="18"/>
        </w:rPr>
        <w:t xml:space="preserve">   &lt;https://portal.opentopography.org/raster?opentopoID=OTSDEM.032021.4326.3&gt;</w:t>
      </w:r>
    </w:p>
    <w:p>
      <w:r>
        <w:rPr>
          <w:color w:val="1F6688"/>
          <w:u w:val="single"/>
        </w:rPr>
        <w:t>AWS Open Data registry entry</w:t>
      </w:r>
      <w:r>
        <w:rPr>
          <w:sz w:val="18"/>
        </w:rPr>
        <w:t xml:space="preserve">   &lt;https://registry.opendata.aws/copernicus-dem/&gt;</w:t>
      </w:r>
    </w:p>
    <w:p/>
    <w:p>
      <w:r>
        <w:rPr>
          <w:b/>
          <w:i w:val="0"/>
          <w:color w:val="B24A2A"/>
          <w:sz w:val="24"/>
        </w:rPr>
        <w:t>6.2 OpenStreetMap features (buildings, roads, waterways, POIs)</w:t>
      </w:r>
    </w:p>
    <w:tbl>
      <w:tblPr>
        <w:tblStyle w:val="LightList-Accent1"/>
        <w:tblW w:type="auto" w:w="0"/>
        <w:tblLook w:firstColumn="1" w:firstRow="1" w:lastColumn="0" w:lastRow="0" w:noHBand="0" w:noVBand="1" w:val="04A0"/>
      </w:tblPr>
      <w:tblGrid>
        <w:gridCol w:w="4320"/>
        <w:gridCol w:w="4320"/>
      </w:tblGrid>
      <w:tr>
        <w:tc>
          <w:tcPr>
            <w:tcW w:type="dxa" w:w="2551"/>
            <w:shd w:val="clear" w:color="auto" w:fill="1F6688"/>
          </w:tcPr>
          <w:p>
            <w:r>
              <w:rPr>
                <w:b/>
                <w:color w:val="FFFFFF"/>
              </w:rPr>
              <w:t>Field</w:t>
            </w:r>
          </w:p>
        </w:tc>
        <w:tc>
          <w:tcPr>
            <w:tcW w:type="dxa" w:w="6520"/>
            <w:shd w:val="clear" w:color="auto" w:fill="1F6688"/>
          </w:tcPr>
          <w:p>
            <w:r>
              <w:rPr>
                <w:b/>
                <w:color w:val="FFFFFF"/>
              </w:rPr>
              <w:t>Value</w:t>
            </w:r>
          </w:p>
        </w:tc>
      </w:tr>
      <w:tr>
        <w:tc>
          <w:tcPr>
            <w:tcW w:type="dxa" w:w="2551"/>
          </w:tcPr>
          <w:p>
            <w:r>
              <w:rPr>
                <w:b/>
              </w:rPr>
              <w:t>Producer</w:t>
            </w:r>
          </w:p>
        </w:tc>
        <w:tc>
          <w:tcPr>
            <w:tcW w:type="dxa" w:w="6520"/>
          </w:tcPr>
          <w:p>
            <w:r>
              <w:t>OpenStreetMap contributors</w:t>
            </w:r>
          </w:p>
        </w:tc>
      </w:tr>
      <w:tr>
        <w:tc>
          <w:tcPr>
            <w:tcW w:type="dxa" w:w="2551"/>
          </w:tcPr>
          <w:p>
            <w:r>
              <w:rPr>
                <w:b/>
              </w:rPr>
              <w:t>Licence</w:t>
            </w:r>
          </w:p>
        </w:tc>
        <w:tc>
          <w:tcPr>
            <w:tcW w:type="dxa" w:w="6520"/>
          </w:tcPr>
          <w:p>
            <w:r>
              <w:t>Open Database Licence (ODbL) - free with attribution</w:t>
            </w:r>
          </w:p>
        </w:tc>
      </w:tr>
      <w:tr>
        <w:tc>
          <w:tcPr>
            <w:tcW w:type="dxa" w:w="2551"/>
          </w:tcPr>
          <w:p>
            <w:r>
              <w:rPr>
                <w:b/>
              </w:rPr>
              <w:t>Access method</w:t>
            </w:r>
          </w:p>
        </w:tc>
        <w:tc>
          <w:tcPr>
            <w:tcW w:type="dxa" w:w="6520"/>
          </w:tcPr>
          <w:p>
            <w:r>
              <w:t>Overpass API public endpoint (no API key, rate-limited)</w:t>
            </w:r>
          </w:p>
        </w:tc>
      </w:tr>
      <w:tr>
        <w:tc>
          <w:tcPr>
            <w:tcW w:type="dxa" w:w="2551"/>
          </w:tcPr>
          <w:p>
            <w:r>
              <w:rPr>
                <w:b/>
              </w:rPr>
              <w:t>Tags fetched</w:t>
            </w:r>
          </w:p>
        </w:tc>
        <w:tc>
          <w:tcPr>
            <w:tcW w:type="dxa" w:w="6520"/>
          </w:tcPr>
          <w:p>
            <w:r>
              <w:t>building, highway, waterway, natural, landuse, place, amenity, tourism, man_made, shop</w:t>
            </w:r>
          </w:p>
        </w:tc>
      </w:tr>
      <w:tr>
        <w:tc>
          <w:tcPr>
            <w:tcW w:type="dxa" w:w="2551"/>
          </w:tcPr>
          <w:p>
            <w:r>
              <w:rPr>
                <w:b/>
              </w:rPr>
              <w:t>Cache</w:t>
            </w:r>
          </w:p>
        </w:tc>
        <w:tc>
          <w:tcPr>
            <w:tcW w:type="dxa" w:w="6520"/>
          </w:tcPr>
          <w:p>
            <w:r>
              <w:t>data/raw/osm.json (355 KB, 70 elements)</w:t>
            </w:r>
          </w:p>
        </w:tc>
      </w:tr>
    </w:tbl>
    <w:p>
      <w:r>
        <w:rPr>
          <w:color w:val="1F6688"/>
          <w:u w:val="single"/>
        </w:rPr>
        <w:t>OSM main site + attribution</w:t>
      </w:r>
      <w:r>
        <w:rPr>
          <w:sz w:val="18"/>
        </w:rPr>
        <w:t xml:space="preserve">   &lt;https://www.openstreetmap.org/copyright&gt;</w:t>
      </w:r>
    </w:p>
    <w:p>
      <w:r>
        <w:rPr>
          <w:color w:val="1F6688"/>
          <w:u w:val="single"/>
        </w:rPr>
        <w:t>Overpass API documentation</w:t>
      </w:r>
      <w:r>
        <w:rPr>
          <w:sz w:val="18"/>
        </w:rPr>
        <w:t xml:space="preserve">   &lt;https://wiki.openstreetmap.org/wiki/Overpass_API&gt;</w:t>
      </w:r>
    </w:p>
    <w:p>
      <w:r>
        <w:rPr>
          <w:color w:val="1F6688"/>
          <w:u w:val="single"/>
        </w:rPr>
        <w:t>Overpass endpoint used</w:t>
      </w:r>
      <w:r>
        <w:rPr>
          <w:sz w:val="18"/>
        </w:rPr>
        <w:t xml:space="preserve">   &lt;https://overpass-api.de/api/interpreter&gt;</w:t>
      </w:r>
    </w:p>
    <w:p/>
    <w:p>
      <w:r>
        <w:rPr>
          <w:b/>
          <w:i w:val="0"/>
          <w:color w:val="B24A2A"/>
          <w:sz w:val="24"/>
        </w:rPr>
        <w:t>6.3 OpenStreetMap administrative boundaries</w:t>
      </w:r>
    </w:p>
    <w:tbl>
      <w:tblPr>
        <w:tblStyle w:val="LightList-Accent1"/>
        <w:tblW w:type="auto" w:w="0"/>
        <w:tblLook w:firstColumn="1" w:firstRow="1" w:lastColumn="0" w:lastRow="0" w:noHBand="0" w:noVBand="1" w:val="04A0"/>
      </w:tblPr>
      <w:tblGrid>
        <w:gridCol w:w="4320"/>
        <w:gridCol w:w="4320"/>
      </w:tblGrid>
      <w:tr>
        <w:tc>
          <w:tcPr>
            <w:tcW w:type="dxa" w:w="2551"/>
            <w:shd w:val="clear" w:color="auto" w:fill="1F6688"/>
          </w:tcPr>
          <w:p>
            <w:r>
              <w:rPr>
                <w:b/>
                <w:color w:val="FFFFFF"/>
              </w:rPr>
              <w:t>Field</w:t>
            </w:r>
          </w:p>
        </w:tc>
        <w:tc>
          <w:tcPr>
            <w:tcW w:type="dxa" w:w="6520"/>
            <w:shd w:val="clear" w:color="auto" w:fill="1F6688"/>
          </w:tcPr>
          <w:p>
            <w:r>
              <w:rPr>
                <w:b/>
                <w:color w:val="FFFFFF"/>
              </w:rPr>
              <w:t>Value</w:t>
            </w:r>
          </w:p>
        </w:tc>
      </w:tr>
      <w:tr>
        <w:tc>
          <w:tcPr>
            <w:tcW w:type="dxa" w:w="2551"/>
          </w:tcPr>
          <w:p>
            <w:r>
              <w:rPr>
                <w:b/>
              </w:rPr>
              <w:t>Producer</w:t>
            </w:r>
          </w:p>
        </w:tc>
        <w:tc>
          <w:tcPr>
            <w:tcW w:type="dxa" w:w="6520"/>
          </w:tcPr>
          <w:p>
            <w:r>
              <w:t>OpenStreetMap contributors</w:t>
            </w:r>
          </w:p>
        </w:tc>
      </w:tr>
      <w:tr>
        <w:tc>
          <w:tcPr>
            <w:tcW w:type="dxa" w:w="2551"/>
          </w:tcPr>
          <w:p>
            <w:r>
              <w:rPr>
                <w:b/>
              </w:rPr>
              <w:t>Levels fetched</w:t>
            </w:r>
          </w:p>
        </w:tc>
        <w:tc>
          <w:tcPr>
            <w:tcW w:type="dxa" w:w="6520"/>
          </w:tcPr>
          <w:p>
            <w:r>
              <w:t>admin_level 6 (municipality), 8 (city/muni district), 9, 10 (barangay)</w:t>
            </w:r>
          </w:p>
        </w:tc>
      </w:tr>
      <w:tr>
        <w:tc>
          <w:tcPr>
            <w:tcW w:type="dxa" w:w="2551"/>
          </w:tcPr>
          <w:p>
            <w:r>
              <w:rPr>
                <w:b/>
              </w:rPr>
              <w:t>Query area</w:t>
            </w:r>
          </w:p>
        </w:tc>
        <w:tc>
          <w:tcPr>
            <w:tcW w:type="dxa" w:w="6520"/>
          </w:tcPr>
          <w:p>
            <w:r>
              <w:t>AOI + 0.15 deg padding (so neighbouring units are captured fully)</w:t>
            </w:r>
          </w:p>
        </w:tc>
      </w:tr>
      <w:tr>
        <w:tc>
          <w:tcPr>
            <w:tcW w:type="dxa" w:w="2551"/>
          </w:tcPr>
          <w:p>
            <w:r>
              <w:rPr>
                <w:b/>
              </w:rPr>
              <w:t>Cache</w:t>
            </w:r>
          </w:p>
        </w:tc>
        <w:tc>
          <w:tcPr>
            <w:tcW w:type="dxa" w:w="6520"/>
          </w:tcPr>
          <w:p>
            <w:r>
              <w:t>data/raw/osm_boundaries.json (266 KB)</w:t>
            </w:r>
          </w:p>
        </w:tc>
      </w:tr>
      <w:tr>
        <w:tc>
          <w:tcPr>
            <w:tcW w:type="dxa" w:w="2551"/>
          </w:tcPr>
          <w:p>
            <w:r>
              <w:rPr>
                <w:b/>
              </w:rPr>
              <w:t>Latest count</w:t>
            </w:r>
          </w:p>
        </w:tc>
        <w:tc>
          <w:tcPr>
            <w:tcW w:type="dxa" w:w="6520"/>
          </w:tcPr>
          <w:p>
            <w:r>
              <w:t>24 boundary polygons (3 municipalities, 21 barangays)</w:t>
            </w:r>
          </w:p>
        </w:tc>
      </w:tr>
    </w:tbl>
    <w:p>
      <w:r>
        <w:rPr>
          <w:b w:val="0"/>
          <w:i/>
          <w:color w:val="556072"/>
        </w:rPr>
        <w:t>NOTE on Malico's missing polygon: the OSM node tagged name=Malico (id 3192513070) carries note="ongoing boundary dispute". Because the Pangasinan-Nueva Vizcaya inter-provincial boundary in this area is still being negotiated, no closed barangay polygon for Malico exists in OSM. The 3D viewer therefore renders the surrounding San Nicolas municipality boundary that crosses the AOI, and the 2D Leaflet view shows the full set of neighbouring barangay polygons for context.</w:t>
      </w:r>
    </w:p>
    <w:p/>
    <w:p>
      <w:r>
        <w:rPr>
          <w:b/>
          <w:i w:val="0"/>
          <w:color w:val="B24A2A"/>
          <w:sz w:val="24"/>
        </w:rPr>
        <w:t>6.4 Esri World Imagery (satellite layer in the viewer)</w:t>
      </w:r>
    </w:p>
    <w:tbl>
      <w:tblPr>
        <w:tblStyle w:val="LightList-Accent1"/>
        <w:tblW w:type="auto" w:w="0"/>
        <w:tblLook w:firstColumn="1" w:firstRow="1" w:lastColumn="0" w:lastRow="0" w:noHBand="0" w:noVBand="1" w:val="04A0"/>
      </w:tblPr>
      <w:tblGrid>
        <w:gridCol w:w="4320"/>
        <w:gridCol w:w="4320"/>
      </w:tblGrid>
      <w:tr>
        <w:tc>
          <w:tcPr>
            <w:tcW w:type="dxa" w:w="2551"/>
            <w:shd w:val="clear" w:color="auto" w:fill="1F6688"/>
          </w:tcPr>
          <w:p>
            <w:r>
              <w:rPr>
                <w:b/>
                <w:color w:val="FFFFFF"/>
              </w:rPr>
              <w:t>Field</w:t>
            </w:r>
          </w:p>
        </w:tc>
        <w:tc>
          <w:tcPr>
            <w:tcW w:type="dxa" w:w="6520"/>
            <w:shd w:val="clear" w:color="auto" w:fill="1F6688"/>
          </w:tcPr>
          <w:p>
            <w:r>
              <w:rPr>
                <w:b/>
                <w:color w:val="FFFFFF"/>
              </w:rPr>
              <w:t>Value</w:t>
            </w:r>
          </w:p>
        </w:tc>
      </w:tr>
      <w:tr>
        <w:tc>
          <w:tcPr>
            <w:tcW w:type="dxa" w:w="2551"/>
          </w:tcPr>
          <w:p>
            <w:r>
              <w:rPr>
                <w:b/>
              </w:rPr>
              <w:t>Producer</w:t>
            </w:r>
          </w:p>
        </w:tc>
        <w:tc>
          <w:tcPr>
            <w:tcW w:type="dxa" w:w="6520"/>
          </w:tcPr>
          <w:p>
            <w:r>
              <w:t>Esri, Maxar, Earthstar Geographics, GIS User Community</w:t>
            </w:r>
          </w:p>
        </w:tc>
      </w:tr>
      <w:tr>
        <w:tc>
          <w:tcPr>
            <w:tcW w:type="dxa" w:w="2551"/>
          </w:tcPr>
          <w:p>
            <w:r>
              <w:rPr>
                <w:b/>
              </w:rPr>
              <w:t>Resolution</w:t>
            </w:r>
          </w:p>
        </w:tc>
        <w:tc>
          <w:tcPr>
            <w:tcW w:type="dxa" w:w="6520"/>
          </w:tcPr>
          <w:p>
            <w:r>
              <w:t>approx. 4.8 m / pixel at zoom level 15 (latest available)</w:t>
            </w:r>
          </w:p>
        </w:tc>
      </w:tr>
      <w:tr>
        <w:tc>
          <w:tcPr>
            <w:tcW w:type="dxa" w:w="2551"/>
          </w:tcPr>
          <w:p>
            <w:r>
              <w:rPr>
                <w:b/>
              </w:rPr>
              <w:t>Tile source</w:t>
            </w:r>
          </w:p>
        </w:tc>
        <w:tc>
          <w:tcPr>
            <w:tcW w:type="dxa" w:w="6520"/>
          </w:tcPr>
          <w:p>
            <w:r>
              <w:t>Esri ArcGIS REST service - World_Imagery</w:t>
            </w:r>
          </w:p>
        </w:tc>
      </w:tr>
      <w:tr>
        <w:tc>
          <w:tcPr>
            <w:tcW w:type="dxa" w:w="2551"/>
          </w:tcPr>
          <w:p>
            <w:r>
              <w:rPr>
                <w:b/>
              </w:rPr>
              <w:t>Licence</w:t>
            </w:r>
          </w:p>
        </w:tc>
        <w:tc>
          <w:tcPr>
            <w:tcW w:type="dxa" w:w="6520"/>
          </w:tcPr>
          <w:p>
            <w:r>
              <w:t>Free for non-commercial use with attribution</w:t>
            </w:r>
          </w:p>
        </w:tc>
      </w:tr>
    </w:tbl>
    <w:p>
      <w:r>
        <w:rPr>
          <w:color w:val="1F6688"/>
          <w:u w:val="single"/>
        </w:rPr>
        <w:t>Esri World Imagery service</w:t>
      </w:r>
      <w:r>
        <w:rPr>
          <w:sz w:val="18"/>
        </w:rPr>
        <w:t xml:space="preserve">   &lt;https://www.arcgis.com/home/item.html?id=10df2279f9684e4a9f6a7f08febac2a9&gt;</w:t>
      </w:r>
    </w:p>
    <w:p/>
    <w:p>
      <w:r>
        <w:rPr>
          <w:b/>
          <w:i w:val="0"/>
          <w:color w:val="B24A2A"/>
          <w:sz w:val="24"/>
        </w:rPr>
        <w:t>6.5 OpenStreetMap rendered tiles (Leaflet 2D minimap)</w:t>
      </w:r>
    </w:p>
    <w:tbl>
      <w:tblPr>
        <w:tblStyle w:val="LightList-Accent1"/>
        <w:tblW w:type="auto" w:w="0"/>
        <w:tblLook w:firstColumn="1" w:firstRow="1" w:lastColumn="0" w:lastRow="0" w:noHBand="0" w:noVBand="1" w:val="04A0"/>
      </w:tblPr>
      <w:tblGrid>
        <w:gridCol w:w="4320"/>
        <w:gridCol w:w="4320"/>
      </w:tblGrid>
      <w:tr>
        <w:tc>
          <w:tcPr>
            <w:tcW w:type="dxa" w:w="2551"/>
            <w:shd w:val="clear" w:color="auto" w:fill="1F6688"/>
          </w:tcPr>
          <w:p>
            <w:r>
              <w:rPr>
                <w:b/>
                <w:color w:val="FFFFFF"/>
              </w:rPr>
              <w:t>Field</w:t>
            </w:r>
          </w:p>
        </w:tc>
        <w:tc>
          <w:tcPr>
            <w:tcW w:type="dxa" w:w="6520"/>
            <w:shd w:val="clear" w:color="auto" w:fill="1F6688"/>
          </w:tcPr>
          <w:p>
            <w:r>
              <w:rPr>
                <w:b/>
                <w:color w:val="FFFFFF"/>
              </w:rPr>
              <w:t>Value</w:t>
            </w:r>
          </w:p>
        </w:tc>
      </w:tr>
      <w:tr>
        <w:tc>
          <w:tcPr>
            <w:tcW w:type="dxa" w:w="2551"/>
          </w:tcPr>
          <w:p>
            <w:r>
              <w:rPr>
                <w:b/>
              </w:rPr>
              <w:t>Producer</w:t>
            </w:r>
          </w:p>
        </w:tc>
        <w:tc>
          <w:tcPr>
            <w:tcW w:type="dxa" w:w="6520"/>
          </w:tcPr>
          <w:p>
            <w:r>
              <w:t>OpenStreetMap Foundation tile-serving infrastructure</w:t>
            </w:r>
          </w:p>
        </w:tc>
      </w:tr>
      <w:tr>
        <w:tc>
          <w:tcPr>
            <w:tcW w:type="dxa" w:w="2551"/>
          </w:tcPr>
          <w:p>
            <w:r>
              <w:rPr>
                <w:b/>
              </w:rPr>
              <w:t>URL</w:t>
            </w:r>
          </w:p>
        </w:tc>
        <w:tc>
          <w:tcPr>
            <w:tcW w:type="dxa" w:w="6520"/>
          </w:tcPr>
          <w:p>
            <w:r>
              <w:t>https://{s}.tile.openstreetmap.org/{z}/{x}/{y}.png</w:t>
            </w:r>
          </w:p>
        </w:tc>
      </w:tr>
      <w:tr>
        <w:tc>
          <w:tcPr>
            <w:tcW w:type="dxa" w:w="2551"/>
          </w:tcPr>
          <w:p>
            <w:r>
              <w:rPr>
                <w:b/>
              </w:rPr>
              <w:t>Licence</w:t>
            </w:r>
          </w:p>
        </w:tc>
        <w:tc>
          <w:tcPr>
            <w:tcW w:type="dxa" w:w="6520"/>
          </w:tcPr>
          <w:p>
            <w:r>
              <w:t>ODbL data; tile-server usage subject to OSMF Tile Usage Policy</w:t>
            </w:r>
          </w:p>
        </w:tc>
      </w:tr>
    </w:tbl>
    <w:p>
      <w:r>
        <w:rPr>
          <w:color w:val="1F6688"/>
          <w:u w:val="single"/>
        </w:rPr>
        <w:t>OSMF Tile Usage Policy</w:t>
      </w:r>
      <w:r>
        <w:rPr>
          <w:sz w:val="18"/>
        </w:rPr>
        <w:t xml:space="preserve">   &lt;https://operations.osmfoundation.org/policies/tiles/&gt;</w:t>
      </w:r>
    </w:p>
    <w:p/>
    <w:p>
      <w:r>
        <w:rPr>
          <w:b/>
          <w:i w:val="0"/>
          <w:color w:val="B24A2A"/>
          <w:sz w:val="24"/>
        </w:rPr>
        <w:t>6.6 Authoritative reference / validation datasets (Philippine official)</w:t>
      </w:r>
    </w:p>
    <w:p>
      <w:r>
        <w:rPr>
          <w:b w:val="0"/>
          <w:i w:val="0"/>
          <w:color w:val="1A1F2B"/>
        </w:rPr>
        <w:t>These are not auto-fetched (they sit behind portals or require manual selection per municipality) but are the canonical sources to validate the model's susceptibility classes against.</w:t>
      </w:r>
    </w:p>
    <w:p>
      <w:r>
        <w:t xml:space="preserve">- </w:t>
      </w:r>
      <w:r>
        <w:rPr>
          <w:color w:val="1F6688"/>
          <w:u w:val="single"/>
        </w:rPr>
        <w:t>MGB Region 1 - 1:10,000 Geohazard Maps per municipality (DENR)</w:t>
      </w:r>
      <w:r>
        <w:rPr>
          <w:sz w:val="18"/>
        </w:rPr>
        <w:t xml:space="preserve">   &lt;https://region1.mgb.gov.ph/geology-and-geohazard-maps/1-10-000-geohazard-maps&gt;</w:t>
      </w:r>
    </w:p>
    <w:p>
      <w:r>
        <w:t xml:space="preserve">- </w:t>
      </w:r>
      <w:r>
        <w:rPr>
          <w:color w:val="1F6688"/>
          <w:u w:val="single"/>
        </w:rPr>
        <w:t>MGB Geohazard Portal (ArcGIS Experience)</w:t>
      </w:r>
      <w:r>
        <w:rPr>
          <w:sz w:val="18"/>
        </w:rPr>
        <w:t xml:space="preserve">   &lt;https://experience.arcgis.com/experience/c48f83f81f1548bdb0a76c61638d52d6&gt;</w:t>
      </w:r>
    </w:p>
    <w:p>
      <w:r>
        <w:t xml:space="preserve">- </w:t>
      </w:r>
      <w:r>
        <w:rPr>
          <w:color w:val="1F6688"/>
          <w:u w:val="single"/>
        </w:rPr>
        <w:t>HazardHunterPH (DOST / Project NOAH / PHIVOLCS)</w:t>
      </w:r>
      <w:r>
        <w:rPr>
          <w:sz w:val="18"/>
        </w:rPr>
        <w:t xml:space="preserve">   &lt;https://hazardhunter.georisk.gov.ph/map&gt;</w:t>
      </w:r>
    </w:p>
    <w:p>
      <w:r>
        <w:t xml:space="preserve">- </w:t>
      </w:r>
      <w:r>
        <w:rPr>
          <w:color w:val="1F6688"/>
          <w:u w:val="single"/>
        </w:rPr>
        <w:t>PHIVOLCS Landslide Hazard Maps (GIS web)</w:t>
      </w:r>
      <w:r>
        <w:rPr>
          <w:sz w:val="18"/>
        </w:rPr>
        <w:t xml:space="preserve">   &lt;https://www.phivolcs.dost.gov.ph/index.php/landslide/gisweb-landslide-hazard-maps&gt;</w:t>
      </w:r>
    </w:p>
    <w:p/>
    <w:p/>
    <w:p>
      <w:pPr>
        <w:pStyle w:val="Heading1"/>
      </w:pPr>
      <w:r>
        <w:rPr>
          <w:color w:val="1F6688"/>
        </w:rPr>
        <w:t>7. Tools &amp; Libraries (with versions)</w:t>
      </w:r>
    </w:p>
    <w:p>
      <w:r>
        <w:rPr>
          <w:b w:val="0"/>
          <w:i w:val="0"/>
          <w:color w:val="1A1F2B"/>
        </w:rPr>
        <w:t>Versions are captured at run time and frozen in run_manifest.json (this snapshot from 2026-05-20T00:08:32).</w:t>
      </w:r>
    </w:p>
    <w:tbl>
      <w:tblPr>
        <w:tblStyle w:val="LightList-Accent1"/>
        <w:tblW w:type="auto" w:w="0"/>
        <w:tblLook w:firstColumn="1" w:firstRow="1" w:lastColumn="0" w:lastRow="0" w:noHBand="0" w:noVBand="1" w:val="04A0"/>
      </w:tblPr>
      <w:tblGrid>
        <w:gridCol w:w="4320"/>
        <w:gridCol w:w="4320"/>
      </w:tblGrid>
      <w:tr>
        <w:tc>
          <w:tcPr>
            <w:tcW w:type="dxa" w:w="3118"/>
            <w:shd w:val="clear" w:color="auto" w:fill="1F6688"/>
          </w:tcPr>
          <w:p>
            <w:r>
              <w:rPr>
                <w:b/>
                <w:color w:val="FFFFFF"/>
              </w:rPr>
              <w:t>Library</w:t>
            </w:r>
          </w:p>
        </w:tc>
        <w:tc>
          <w:tcPr>
            <w:tcW w:type="dxa" w:w="5953"/>
            <w:shd w:val="clear" w:color="auto" w:fill="1F6688"/>
          </w:tcPr>
          <w:p>
            <w:r>
              <w:rPr>
                <w:b/>
                <w:color w:val="FFFFFF"/>
              </w:rPr>
              <w:t>Version</w:t>
            </w:r>
          </w:p>
        </w:tc>
      </w:tr>
      <w:tr>
        <w:tc>
          <w:tcPr>
            <w:tcW w:type="dxa" w:w="3118"/>
          </w:tcPr>
          <w:p>
            <w:r>
              <w:rPr>
                <w:b/>
              </w:rPr>
              <w:t>numpy</w:t>
            </w:r>
          </w:p>
        </w:tc>
        <w:tc>
          <w:tcPr>
            <w:tcW w:type="dxa" w:w="5953"/>
          </w:tcPr>
          <w:p>
            <w:r>
              <w:t>2.2.6</w:t>
            </w:r>
          </w:p>
        </w:tc>
      </w:tr>
      <w:tr>
        <w:tc>
          <w:tcPr>
            <w:tcW w:type="dxa" w:w="3118"/>
          </w:tcPr>
          <w:p>
            <w:r>
              <w:rPr>
                <w:b/>
              </w:rPr>
              <w:t>scipy</w:t>
            </w:r>
          </w:p>
        </w:tc>
        <w:tc>
          <w:tcPr>
            <w:tcW w:type="dxa" w:w="5953"/>
          </w:tcPr>
          <w:p>
            <w:r>
              <w:t>1.15.3</w:t>
            </w:r>
          </w:p>
        </w:tc>
      </w:tr>
      <w:tr>
        <w:tc>
          <w:tcPr>
            <w:tcW w:type="dxa" w:w="3118"/>
          </w:tcPr>
          <w:p>
            <w:r>
              <w:rPr>
                <w:b/>
              </w:rPr>
              <w:t>rasterio</w:t>
            </w:r>
          </w:p>
        </w:tc>
        <w:tc>
          <w:tcPr>
            <w:tcW w:type="dxa" w:w="5953"/>
          </w:tcPr>
          <w:p>
            <w:r>
              <w:t>1.4.4</w:t>
            </w:r>
          </w:p>
        </w:tc>
      </w:tr>
      <w:tr>
        <w:tc>
          <w:tcPr>
            <w:tcW w:type="dxa" w:w="3118"/>
          </w:tcPr>
          <w:p>
            <w:r>
              <w:rPr>
                <w:b/>
              </w:rPr>
              <w:t>pillow</w:t>
            </w:r>
          </w:p>
        </w:tc>
        <w:tc>
          <w:tcPr>
            <w:tcW w:type="dxa" w:w="5953"/>
          </w:tcPr>
          <w:p>
            <w:r>
              <w:t>12.2.0</w:t>
            </w:r>
          </w:p>
        </w:tc>
      </w:tr>
      <w:tr>
        <w:tc>
          <w:tcPr>
            <w:tcW w:type="dxa" w:w="3118"/>
          </w:tcPr>
          <w:p>
            <w:r>
              <w:rPr>
                <w:b/>
              </w:rPr>
              <w:t>requests</w:t>
            </w:r>
          </w:p>
        </w:tc>
        <w:tc>
          <w:tcPr>
            <w:tcW w:type="dxa" w:w="5953"/>
          </w:tcPr>
          <w:p>
            <w:r>
              <w:t>2.34.2</w:t>
            </w:r>
          </w:p>
        </w:tc>
      </w:tr>
      <w:tr>
        <w:tc>
          <w:tcPr>
            <w:tcW w:type="dxa" w:w="3118"/>
          </w:tcPr>
          <w:p>
            <w:r>
              <w:rPr>
                <w:b/>
              </w:rPr>
              <w:t>pyyaml</w:t>
            </w:r>
          </w:p>
        </w:tc>
        <w:tc>
          <w:tcPr>
            <w:tcW w:type="dxa" w:w="5953"/>
          </w:tcPr>
          <w:p>
            <w:r>
              <w:t>6.0.3</w:t>
            </w:r>
          </w:p>
        </w:tc>
      </w:tr>
      <w:tr>
        <w:tc>
          <w:tcPr>
            <w:tcW w:type="dxa" w:w="3118"/>
          </w:tcPr>
          <w:p>
            <w:r>
              <w:rPr>
                <w:b/>
              </w:rPr>
              <w:t>matplotlib</w:t>
            </w:r>
          </w:p>
        </w:tc>
        <w:tc>
          <w:tcPr>
            <w:tcW w:type="dxa" w:w="5953"/>
          </w:tcPr>
          <w:p>
            <w:r>
              <w:t>3.10.9</w:t>
            </w:r>
          </w:p>
        </w:tc>
      </w:tr>
      <w:tr>
        <w:tc>
          <w:tcPr>
            <w:tcW w:type="dxa" w:w="3118"/>
          </w:tcPr>
          <w:p>
            <w:r>
              <w:rPr>
                <w:b/>
              </w:rPr>
              <w:t>python-docx</w:t>
            </w:r>
          </w:p>
        </w:tc>
        <w:tc>
          <w:tcPr>
            <w:tcW w:type="dxa" w:w="5953"/>
          </w:tcPr>
          <w:p>
            <w:r>
              <w:t>1.2.0 (this documentation builder)</w:t>
            </w:r>
          </w:p>
        </w:tc>
      </w:tr>
      <w:tr>
        <w:tc>
          <w:tcPr>
            <w:tcW w:type="dxa" w:w="3118"/>
          </w:tcPr>
          <w:p>
            <w:r>
              <w:rPr>
                <w:b/>
              </w:rPr>
              <w:t>Three.js</w:t>
            </w:r>
          </w:p>
        </w:tc>
        <w:tc>
          <w:tcPr>
            <w:tcW w:type="dxa" w:w="5953"/>
          </w:tcPr>
          <w:p>
            <w:r>
              <w:t>r160 (3D viewer)</w:t>
            </w:r>
          </w:p>
        </w:tc>
      </w:tr>
      <w:tr>
        <w:tc>
          <w:tcPr>
            <w:tcW w:type="dxa" w:w="3118"/>
          </w:tcPr>
          <w:p>
            <w:r>
              <w:rPr>
                <w:b/>
              </w:rPr>
              <w:t>Leaflet</w:t>
            </w:r>
          </w:p>
        </w:tc>
        <w:tc>
          <w:tcPr>
            <w:tcW w:type="dxa" w:w="5953"/>
          </w:tcPr>
          <w:p>
            <w:r>
              <w:t>1.9.4 (2D minimap)</w:t>
            </w:r>
          </w:p>
        </w:tc>
      </w:tr>
    </w:tbl>
    <w:p>
      <w:r>
        <w:rPr>
          <w:b/>
          <w:i w:val="0"/>
          <w:color w:val="B24A2A"/>
          <w:sz w:val="22"/>
        </w:rPr>
        <w:t>Runtime environment</w:t>
      </w:r>
    </w:p>
    <w:tbl>
      <w:tblPr>
        <w:tblStyle w:val="LightList-Accent1"/>
        <w:tblW w:type="auto" w:w="0"/>
        <w:tblLook w:firstColumn="1" w:firstRow="1" w:lastColumn="0" w:lastRow="0" w:noHBand="0" w:noVBand="1" w:val="04A0"/>
      </w:tblPr>
      <w:tblGrid>
        <w:gridCol w:w="4320"/>
        <w:gridCol w:w="4320"/>
      </w:tblGrid>
      <w:tr>
        <w:tc>
          <w:tcPr>
            <w:tcW w:type="dxa" w:w="2551"/>
            <w:shd w:val="clear" w:color="auto" w:fill="1F6688"/>
          </w:tcPr>
          <w:p>
            <w:r>
              <w:rPr>
                <w:b/>
                <w:color w:val="FFFFFF"/>
              </w:rPr>
              <w:t>Item</w:t>
            </w:r>
          </w:p>
        </w:tc>
        <w:tc>
          <w:tcPr>
            <w:tcW w:type="dxa" w:w="6520"/>
            <w:shd w:val="clear" w:color="auto" w:fill="1F6688"/>
          </w:tcPr>
          <w:p>
            <w:r>
              <w:rPr>
                <w:b/>
                <w:color w:val="FFFFFF"/>
              </w:rPr>
              <w:t>Value</w:t>
            </w:r>
          </w:p>
        </w:tc>
      </w:tr>
      <w:tr>
        <w:tc>
          <w:tcPr>
            <w:tcW w:type="dxa" w:w="2551"/>
          </w:tcPr>
          <w:p>
            <w:r>
              <w:rPr>
                <w:b/>
              </w:rPr>
              <w:t>Python</w:t>
            </w:r>
          </w:p>
        </w:tc>
        <w:tc>
          <w:tcPr>
            <w:tcW w:type="dxa" w:w="6520"/>
          </w:tcPr>
          <w:p>
            <w:r>
              <w:t>3.10.0</w:t>
            </w:r>
          </w:p>
        </w:tc>
      </w:tr>
      <w:tr>
        <w:tc>
          <w:tcPr>
            <w:tcW w:type="dxa" w:w="2551"/>
          </w:tcPr>
          <w:p>
            <w:r>
              <w:rPr>
                <w:b/>
              </w:rPr>
              <w:t>Platform</w:t>
            </w:r>
          </w:p>
        </w:tc>
        <w:tc>
          <w:tcPr>
            <w:tcW w:type="dxa" w:w="6520"/>
          </w:tcPr>
          <w:p>
            <w:r>
              <w:t>Windows-10-10.0.26100-SP0</w:t>
            </w:r>
          </w:p>
        </w:tc>
      </w:tr>
      <w:tr>
        <w:tc>
          <w:tcPr>
            <w:tcW w:type="dxa" w:w="2551"/>
          </w:tcPr>
          <w:p>
            <w:r>
              <w:rPr>
                <w:b/>
              </w:rPr>
              <w:t>Virtual env</w:t>
            </w:r>
          </w:p>
        </w:tc>
        <w:tc>
          <w:tcPr>
            <w:tcW w:type="dxa" w:w="6520"/>
          </w:tcPr>
          <w:p>
            <w:r>
              <w:t>.venv/ (per-project, plain pip)</w:t>
            </w:r>
          </w:p>
        </w:tc>
      </w:tr>
      <w:tr>
        <w:tc>
          <w:tcPr>
            <w:tcW w:type="dxa" w:w="2551"/>
          </w:tcPr>
          <w:p>
            <w:r>
              <w:rPr>
                <w:b/>
              </w:rPr>
              <w:t>GDAL</w:t>
            </w:r>
          </w:p>
        </w:tc>
        <w:tc>
          <w:tcPr>
            <w:tcW w:type="dxa" w:w="6520"/>
          </w:tcPr>
          <w:p>
            <w:r>
              <w:t>Bundled inside the rasterio wheel - no system GDAL install</w:t>
            </w:r>
          </w:p>
        </w:tc>
      </w:tr>
      <w:tr>
        <w:tc>
          <w:tcPr>
            <w:tcW w:type="dxa" w:w="2551"/>
          </w:tcPr>
          <w:p>
            <w:r>
              <w:rPr>
                <w:b/>
              </w:rPr>
              <w:t>QGIS</w:t>
            </w:r>
          </w:p>
        </w:tc>
        <w:tc>
          <w:tcPr>
            <w:tcW w:type="dxa" w:w="6520"/>
          </w:tcPr>
          <w:p>
            <w:r>
              <w:t>Optional, not required to reproduce any output</w:t>
            </w:r>
          </w:p>
        </w:tc>
      </w:tr>
      <w:tr>
        <w:tc>
          <w:tcPr>
            <w:tcW w:type="dxa" w:w="2551"/>
          </w:tcPr>
          <w:p>
            <w:r>
              <w:rPr>
                <w:b/>
              </w:rPr>
              <w:t>OpenLISEM</w:t>
            </w:r>
          </w:p>
        </w:tc>
        <w:tc>
          <w:tcPr>
            <w:tcW w:type="dxa" w:w="6520"/>
          </w:tcPr>
          <w:p>
            <w:r>
              <w:t>Optional, not required to reproduce any output</w:t>
            </w:r>
          </w:p>
        </w:tc>
      </w:tr>
    </w:tbl>
    <w:p/>
    <w:p/>
    <w:p>
      <w:pPr>
        <w:pStyle w:val="Heading1"/>
      </w:pPr>
      <w:r>
        <w:rPr>
          <w:color w:val="1F6688"/>
        </w:rPr>
        <w:t>8. Scientific References</w:t>
      </w:r>
    </w:p>
    <w:p>
      <w:r>
        <w:rPr>
          <w:b w:val="0"/>
          <w:i w:val="0"/>
          <w:color w:val="1A1F2B"/>
        </w:rPr>
        <w:t>Citation style: author(s), year, full title, venue / publisher. Where a DOI or stable URL exists it is given below.</w:t>
      </w:r>
    </w:p>
    <w:p>
      <w:pPr>
        <w:ind w:left="340" w:hanging="340"/>
      </w:pPr>
      <w:r>
        <w:rPr>
          <w:b/>
        </w:rPr>
        <w:t xml:space="preserve">Horton, P., Jaboyedoff, M., Rudaz, B., and Zimmermann, M. (2013). </w:t>
      </w:r>
      <w:r>
        <w:t>Flow-R, a model for susceptibility mapping of debris flows and other gravitational hazards at a regional scale. Natural Hazards and Earth System Sciences 13, 869-885.</w:t>
      </w:r>
      <w:r>
        <w:t xml:space="preserve">  </w:t>
      </w:r>
      <w:r>
        <w:rPr>
          <w:color w:val="1F6688"/>
          <w:sz w:val="19"/>
          <w:u w:val="single"/>
        </w:rPr>
        <w:t>https://doi.org/10.5194/nhess-13-869-2013</w:t>
      </w:r>
    </w:p>
    <w:p>
      <w:pPr>
        <w:ind w:left="340" w:hanging="340"/>
      </w:pPr>
      <w:r>
        <w:rPr>
          <w:b/>
        </w:rPr>
        <w:t xml:space="preserve">van den Bout, B., van Asch, T., Hu, W., Tang, C., Mavrouli, O., Jetten, V., and van Westen, C. J. (2021). </w:t>
      </w:r>
      <w:r>
        <w:t>Towards a model for structured mass movements: the OpenLISEM hazard model 2.0a. Geoscientific Model Development 14, 1841-1864.</w:t>
      </w:r>
      <w:r>
        <w:t xml:space="preserve">  </w:t>
      </w:r>
      <w:r>
        <w:rPr>
          <w:color w:val="1F6688"/>
          <w:sz w:val="19"/>
          <w:u w:val="single"/>
        </w:rPr>
        <w:t>https://doi.org/10.5194/gmd-14-1841-2021</w:t>
      </w:r>
    </w:p>
    <w:p>
      <w:pPr>
        <w:ind w:left="340" w:hanging="340"/>
      </w:pPr>
      <w:r>
        <w:rPr>
          <w:b/>
        </w:rPr>
        <w:t xml:space="preserve">van Westen, C. J., Castellanos, E., and Kuriakose, S. L. (2008). </w:t>
      </w:r>
      <w:r>
        <w:t>Spatial data for landslide susceptibility, hazard, and vulnerability assessment: an overview. Engineering Geology 102, 112-131.</w:t>
      </w:r>
      <w:r>
        <w:t xml:space="preserve">  </w:t>
      </w:r>
      <w:r>
        <w:rPr>
          <w:color w:val="1F6688"/>
          <w:sz w:val="19"/>
          <w:u w:val="single"/>
        </w:rPr>
        <w:t>https://doi.org/10.1016/j.enggeo.2008.03.010</w:t>
      </w:r>
    </w:p>
    <w:p>
      <w:pPr>
        <w:ind w:left="340" w:hanging="340"/>
      </w:pPr>
      <w:r>
        <w:rPr>
          <w:b/>
        </w:rPr>
        <w:t xml:space="preserve">Bessette-Kirton, E. K., and Coe, J. A. (2020). </w:t>
      </w:r>
      <w:r>
        <w:t>Landslide runout: a review of analytical and empirical models. U.S. Geological Survey.</w:t>
      </w:r>
      <w:r>
        <w:t xml:space="preserve">  </w:t>
      </w:r>
      <w:r>
        <w:rPr>
          <w:color w:val="1F6688"/>
          <w:sz w:val="19"/>
          <w:u w:val="single"/>
        </w:rPr>
        <w:t>https://www.usgs.gov/programs/landslide-hazards</w:t>
      </w:r>
    </w:p>
    <w:p>
      <w:pPr>
        <w:ind w:left="340" w:hanging="340"/>
      </w:pPr>
      <w:r>
        <w:rPr>
          <w:b/>
        </w:rPr>
        <w:t xml:space="preserve">ESA / Airbus (2021). </w:t>
      </w:r>
      <w:r>
        <w:t>Copernicus DEM - Global and European Digital Elevation Model (COP-DEM). European Space Agency.</w:t>
      </w:r>
      <w:r>
        <w:t xml:space="preserve">  </w:t>
      </w:r>
      <w:r>
        <w:rPr>
          <w:color w:val="1F6688"/>
          <w:sz w:val="19"/>
          <w:u w:val="single"/>
        </w:rPr>
        <w:t>https://spacedata.copernicus.eu/collections/copernicus-digital-elevation-model</w:t>
      </w:r>
    </w:p>
    <w:p>
      <w:pPr>
        <w:ind w:left="340" w:hanging="340"/>
      </w:pPr>
      <w:r>
        <w:rPr>
          <w:b/>
        </w:rPr>
        <w:t xml:space="preserve">Mines and Geosciences Bureau, DENR (continuously updated). </w:t>
      </w:r>
      <w:r>
        <w:t>Landslide and Flood Susceptibility Maps of the Philippines (1:10,000 series).</w:t>
      </w:r>
      <w:r>
        <w:t xml:space="preserve">  </w:t>
      </w:r>
      <w:r>
        <w:rPr>
          <w:color w:val="1F6688"/>
          <w:sz w:val="19"/>
          <w:u w:val="single"/>
        </w:rPr>
        <w:t>https://region1.mgb.gov.ph/geology-and-geohazard-maps/1-10-000-geohazard-maps</w:t>
      </w:r>
    </w:p>
    <w:p>
      <w:pPr>
        <w:ind w:left="340" w:hanging="340"/>
      </w:pPr>
      <w:r>
        <w:rPr>
          <w:b/>
        </w:rPr>
        <w:t xml:space="preserve">PHIVOLCS-DOST (continuously updated). </w:t>
      </w:r>
      <w:r>
        <w:t>GIS-based Landslide Hazard Maps of the Philippines.</w:t>
      </w:r>
      <w:r>
        <w:t xml:space="preserve">  </w:t>
      </w:r>
      <w:r>
        <w:rPr>
          <w:color w:val="1F6688"/>
          <w:sz w:val="19"/>
          <w:u w:val="single"/>
        </w:rPr>
        <w:t>https://www.phivolcs.dost.gov.ph/index.php/landslide/gisweb-landslide-hazard-maps</w:t>
      </w:r>
    </w:p>
    <w:p>
      <w:pPr>
        <w:ind w:left="340" w:hanging="340"/>
      </w:pPr>
      <w:r>
        <w:rPr>
          <w:b/>
        </w:rPr>
        <w:t xml:space="preserve">OpenStreetMap contributors (continuously updated). </w:t>
      </w:r>
      <w:r>
        <w:t>OpenStreetMap geodatabase. Open Database Licence (ODbL).</w:t>
      </w:r>
      <w:r>
        <w:t xml:space="preserve">  </w:t>
      </w:r>
      <w:r>
        <w:rPr>
          <w:color w:val="1F6688"/>
          <w:sz w:val="19"/>
          <w:u w:val="single"/>
        </w:rPr>
        <w:t>https://www.openstreetmap.org/copyright</w:t>
      </w:r>
    </w:p>
    <w:p>
      <w:pPr>
        <w:ind w:left="340" w:hanging="340"/>
      </w:pPr>
      <w:r>
        <w:rPr>
          <w:b/>
        </w:rPr>
        <w:t xml:space="preserve">Skempton, A. W., and DeLory, F. A. (1957). </w:t>
      </w:r>
      <w:r>
        <w:t>Stability of natural slopes in London Clay. Proc. 4th International Conference on Soil Mechanics and Foundation Engineering, London, vol. 2, pp. 378-381.  [Classical reference for infinite-slope analysis.]</w:t>
      </w:r>
    </w:p>
    <w:p/>
    <w:p/>
    <w:p>
      <w:pPr>
        <w:pStyle w:val="Heading1"/>
      </w:pPr>
      <w:r>
        <w:rPr>
          <w:color w:val="1F6688"/>
        </w:rPr>
        <w:t>9. Data Legitimacy Statement</w:t>
      </w:r>
    </w:p>
    <w:p>
      <w:pPr>
        <w:spacing w:after="120"/>
      </w:pPr>
      <w:r>
        <w:rPr>
          <w:b w:val="0"/>
          <w:i w:val="0"/>
          <w:color w:val="1A1F2B"/>
        </w:rPr>
        <w:t>This section explicitly addresses provenance and legitimacy so a reviewer can confirm at a glance that every input is authoritative and freely citable.</w:t>
      </w:r>
    </w:p>
    <w:p>
      <w:r>
        <w:rPr>
          <w:b/>
          <w:i w:val="0"/>
          <w:color w:val="B24A2A"/>
        </w:rPr>
        <w:t>Terrain (Copernicus DEM)</w:t>
      </w:r>
    </w:p>
    <w:p>
      <w:r>
        <w:rPr>
          <w:b w:val="0"/>
          <w:i w:val="0"/>
          <w:color w:val="1A1F2B"/>
        </w:rPr>
        <w:t>Produced by the European Space Agency under the Copernicus programme - the EU's flagship Earth-observation programme. The exact tile, the bucket URL, and the EULA are all public. OpenTopography (NSF-funded) hosts a parallel mirror.</w:t>
      </w:r>
    </w:p>
    <w:p/>
    <w:p>
      <w:r>
        <w:rPr>
          <w:b/>
          <w:i w:val="0"/>
          <w:color w:val="B24A2A"/>
        </w:rPr>
        <w:t>Vector features (OSM via Overpass)</w:t>
      </w:r>
    </w:p>
    <w:p>
      <w:r>
        <w:rPr>
          <w:b w:val="0"/>
          <w:i w:val="0"/>
          <w:color w:val="1A1F2B"/>
        </w:rPr>
        <w:t>OpenStreetMap is the world's largest community geodatabase and is licensed under the ODbL. The raw Overpass response is cached verbatim under data/raw/osm.json so any reviewer can replay the exact bytes that the pipeline parsed.</w:t>
      </w:r>
    </w:p>
    <w:p/>
    <w:p>
      <w:r>
        <w:rPr>
          <w:b/>
          <w:i w:val="0"/>
          <w:color w:val="B24A2A"/>
        </w:rPr>
        <w:t>Administrative boundaries</w:t>
      </w:r>
    </w:p>
    <w:p>
      <w:r>
        <w:rPr>
          <w:b w:val="0"/>
          <w:i w:val="0"/>
          <w:color w:val="1A1F2B"/>
        </w:rPr>
        <w:t>Boundary relations are also from OSM. The fact that Malico's polygon is missing - and why - is itself documented inside the OSM node ("ongoing boundary dispute"). This is a transparent and citable real-world data limitation, not a modelling error.</w:t>
      </w:r>
    </w:p>
    <w:p/>
    <w:p>
      <w:r>
        <w:rPr>
          <w:b/>
          <w:i w:val="0"/>
          <w:color w:val="B24A2A"/>
        </w:rPr>
        <w:t>Tile imagery (OSM tiles + Esri World Imagery)</w:t>
      </w:r>
    </w:p>
    <w:p>
      <w:r>
        <w:rPr>
          <w:b w:val="0"/>
          <w:i w:val="0"/>
          <w:color w:val="1A1F2B"/>
        </w:rPr>
        <w:t>Both are publicly served and used under their stated terms of use. The viewer only fetches tiles at render time - none of the tile imagery is stored or redistributed.</w:t>
      </w:r>
    </w:p>
    <w:p/>
    <w:p>
      <w:r>
        <w:rPr>
          <w:b/>
          <w:i w:val="0"/>
          <w:color w:val="B24A2A"/>
        </w:rPr>
        <w:t>Geotechnical parameters</w:t>
      </w:r>
    </w:p>
    <w:p>
      <w:r>
        <w:rPr>
          <w:b w:val="0"/>
          <w:i w:val="0"/>
          <w:color w:val="1A1F2B"/>
        </w:rPr>
        <w:t>Default values (c'=5 kPa, phi'=30 deg, gamma=18 kN/m^3, z=2 m) are typical of weathered residual soil over volcanic / sedimentary bedrock. They are documented per parameter inside config.yaml and can be replaced with site-specific lab values for the final defense version.</w:t>
      </w:r>
    </w:p>
    <w:p/>
    <w:p>
      <w:r>
        <w:rPr>
          <w:b/>
          <w:i w:val="0"/>
          <w:color w:val="B24A2A"/>
        </w:rPr>
        <w:t>Reproducibility &amp; audit trail</w:t>
      </w:r>
    </w:p>
    <w:p>
      <w:r>
        <w:rPr>
          <w:b w:val="0"/>
          <w:i w:val="0"/>
          <w:color w:val="1A1F2B"/>
        </w:rPr>
        <w:t>Every pipeline run writes data/outputs/run_manifest.json with: the run timestamp, total duration, Python version, OS, library versions, the full config.yaml snapshot, per-stage summary results, and a SHA-256 hash + byte size of every output file. Any later re-run can be byte-compared against this manifest, which is the strongest evidence of computational legitimacy.</w:t>
      </w:r>
    </w:p>
    <w:p/>
    <w:p>
      <w:r>
        <w:rPr>
          <w:b/>
          <w:i w:val="0"/>
          <w:color w:val="B24A2A"/>
        </w:rPr>
        <w:t>Open standards</w:t>
      </w:r>
    </w:p>
    <w:p>
      <w:r>
        <w:rPr>
          <w:b w:val="0"/>
          <w:i w:val="0"/>
          <w:color w:val="1A1F2B"/>
        </w:rPr>
        <w:t>All raster outputs are GeoTIFF (OGC standard), vector outputs are GeoJSON (RFC 7946), and the viewer uses plain PNG / JSON / binary Float32 - no proprietary formats anywhere in the chain.</w:t>
      </w:r>
    </w:p>
    <w:p/>
    <w:p/>
    <w:p/>
    <w:p>
      <w:pPr>
        <w:pStyle w:val="Heading1"/>
      </w:pPr>
      <w:r>
        <w:rPr>
          <w:color w:val="1F6688"/>
        </w:rPr>
        <w:t>10. Output Statistics (latest pipeline run)</w:t>
      </w:r>
    </w:p>
    <w:p>
      <w:r>
        <w:rPr>
          <w:b/>
          <w:i w:val="0"/>
          <w:color w:val="B24A2A"/>
          <w:sz w:val="24"/>
        </w:rPr>
        <w:t>10.1 Terrain</w:t>
      </w:r>
    </w:p>
    <w:tbl>
      <w:tblPr>
        <w:tblStyle w:val="LightList-Accent1"/>
        <w:tblW w:type="auto" w:w="0"/>
        <w:tblLook w:firstColumn="1" w:firstRow="1" w:lastColumn="0" w:lastRow="0" w:noHBand="0" w:noVBand="1" w:val="04A0"/>
      </w:tblPr>
      <w:tblGrid>
        <w:gridCol w:w="4320"/>
        <w:gridCol w:w="4320"/>
      </w:tblGrid>
      <w:tr>
        <w:tc>
          <w:tcPr>
            <w:tcW w:type="dxa" w:w="3402"/>
            <w:shd w:val="clear" w:color="auto" w:fill="1F6688"/>
          </w:tcPr>
          <w:p>
            <w:r>
              <w:rPr>
                <w:b/>
                <w:color w:val="FFFFFF"/>
              </w:rPr>
              <w:t>Metric</w:t>
            </w:r>
          </w:p>
        </w:tc>
        <w:tc>
          <w:tcPr>
            <w:tcW w:type="dxa" w:w="5669"/>
            <w:shd w:val="clear" w:color="auto" w:fill="1F6688"/>
          </w:tcPr>
          <w:p>
            <w:r>
              <w:rPr>
                <w:b/>
                <w:color w:val="FFFFFF"/>
              </w:rPr>
              <w:t>Value</w:t>
            </w:r>
          </w:p>
        </w:tc>
      </w:tr>
      <w:tr>
        <w:tc>
          <w:tcPr>
            <w:tcW w:type="dxa" w:w="3402"/>
          </w:tcPr>
          <w:p>
            <w:r>
              <w:rPr>
                <w:b/>
              </w:rPr>
              <w:t>Elevation range</w:t>
            </w:r>
          </w:p>
        </w:tc>
        <w:tc>
          <w:tcPr>
            <w:tcW w:type="dxa" w:w="5669"/>
          </w:tcPr>
          <w:p>
            <w:r>
              <w:t>147 - 1579 m</w:t>
            </w:r>
          </w:p>
        </w:tc>
      </w:tr>
      <w:tr>
        <w:tc>
          <w:tcPr>
            <w:tcW w:type="dxa" w:w="3402"/>
          </w:tcPr>
          <w:p>
            <w:r>
              <w:rPr>
                <w:b/>
              </w:rPr>
              <w:t>Mean slope</w:t>
            </w:r>
          </w:p>
        </w:tc>
        <w:tc>
          <w:tcPr>
            <w:tcW w:type="dxa" w:w="5669"/>
          </w:tcPr>
          <w:p>
            <w:r>
              <w:t>25.1 deg</w:t>
            </w:r>
          </w:p>
        </w:tc>
      </w:tr>
      <w:tr>
        <w:tc>
          <w:tcPr>
            <w:tcW w:type="dxa" w:w="3402"/>
          </w:tcPr>
          <w:p>
            <w:r>
              <w:rPr>
                <w:b/>
              </w:rPr>
              <w:t>Max slope</w:t>
            </w:r>
          </w:p>
        </w:tc>
        <w:tc>
          <w:tcPr>
            <w:tcW w:type="dxa" w:w="5669"/>
          </w:tcPr>
          <w:p>
            <w:r>
              <w:t>56.1 deg</w:t>
            </w:r>
          </w:p>
        </w:tc>
      </w:tr>
      <w:tr>
        <w:tc>
          <w:tcPr>
            <w:tcW w:type="dxa" w:w="3402"/>
          </w:tcPr>
          <w:p>
            <w:r>
              <w:rPr>
                <w:b/>
              </w:rPr>
              <w:t>Drainage channel cells</w:t>
            </w:r>
          </w:p>
        </w:tc>
        <w:tc>
          <w:tcPr>
            <w:tcW w:type="dxa" w:w="5669"/>
          </w:tcPr>
          <w:p>
            <w:r>
              <w:t>3,832 (out of 84,656 cells)</w:t>
            </w:r>
          </w:p>
        </w:tc>
      </w:tr>
      <w:tr>
        <w:tc>
          <w:tcPr>
            <w:tcW w:type="dxa" w:w="3402"/>
          </w:tcPr>
          <w:p>
            <w:r>
              <w:rPr>
                <w:b/>
              </w:rPr>
              <w:t>Grid</w:t>
            </w:r>
          </w:p>
        </w:tc>
        <w:tc>
          <w:tcPr>
            <w:tcW w:type="dxa" w:w="5669"/>
          </w:tcPr>
          <w:p>
            <w:r>
              <w:t>286 x 296 @ 30.24 m / cell</w:t>
            </w:r>
          </w:p>
        </w:tc>
      </w:tr>
    </w:tbl>
    <w:p>
      <w:r>
        <w:rPr>
          <w:b/>
          <w:i w:val="0"/>
          <w:color w:val="B24A2A"/>
          <w:sz w:val="24"/>
        </w:rPr>
        <w:t>10.2 Per-scenario hazard + exposure</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6688"/>
          </w:tcPr>
          <w:p>
            <w:r>
              <w:rPr>
                <w:b/>
                <w:color w:val="FFFFFF"/>
              </w:rPr>
              <w:t>Scenario</w:t>
            </w:r>
          </w:p>
        </w:tc>
        <w:tc>
          <w:tcPr>
            <w:tcW w:type="dxa" w:w="1440"/>
            <w:shd w:val="clear" w:color="auto" w:fill="1F6688"/>
          </w:tcPr>
          <w:p>
            <w:r>
              <w:rPr>
                <w:b/>
                <w:color w:val="FFFFFF"/>
              </w:rPr>
              <w:t>m</w:t>
            </w:r>
          </w:p>
        </w:tc>
        <w:tc>
          <w:tcPr>
            <w:tcW w:type="dxa" w:w="1440"/>
            <w:shd w:val="clear" w:color="auto" w:fill="1F6688"/>
          </w:tcPr>
          <w:p>
            <w:r>
              <w:rPr>
                <w:b/>
                <w:color w:val="FFFFFF"/>
              </w:rPr>
              <w:t>Unstable %</w:t>
            </w:r>
          </w:p>
        </w:tc>
        <w:tc>
          <w:tcPr>
            <w:tcW w:type="dxa" w:w="1440"/>
            <w:shd w:val="clear" w:color="auto" w:fill="1F6688"/>
          </w:tcPr>
          <w:p>
            <w:r>
              <w:rPr>
                <w:b/>
                <w:color w:val="FFFFFF"/>
              </w:rPr>
              <w:t>Sources</w:t>
            </w:r>
          </w:p>
        </w:tc>
        <w:tc>
          <w:tcPr>
            <w:tcW w:type="dxa" w:w="1440"/>
            <w:shd w:val="clear" w:color="auto" w:fill="1F6688"/>
          </w:tcPr>
          <w:p>
            <w:r>
              <w:rPr>
                <w:b/>
                <w:color w:val="FFFFFF"/>
              </w:rPr>
              <w:t>Runout %</w:t>
            </w:r>
          </w:p>
        </w:tc>
        <w:tc>
          <w:tcPr>
            <w:tcW w:type="dxa" w:w="1440"/>
            <w:shd w:val="clear" w:color="auto" w:fill="1F6688"/>
          </w:tcPr>
          <w:p>
            <w:r>
              <w:rPr>
                <w:b/>
                <w:color w:val="FFFFFF"/>
              </w:rPr>
              <w:t>Max runout (m)</w:t>
            </w:r>
          </w:p>
        </w:tc>
      </w:tr>
      <w:tr>
        <w:tc>
          <w:tcPr>
            <w:tcW w:type="dxa" w:w="1440"/>
          </w:tcPr>
          <w:p>
            <w:r>
              <w:t>Dry</w:t>
            </w:r>
          </w:p>
        </w:tc>
        <w:tc>
          <w:tcPr>
            <w:tcW w:type="dxa" w:w="1440"/>
          </w:tcPr>
          <w:p>
            <w:r>
              <w:t>0.10</w:t>
            </w:r>
          </w:p>
        </w:tc>
        <w:tc>
          <w:tcPr>
            <w:tcW w:type="dxa" w:w="1440"/>
          </w:tcPr>
          <w:p>
            <w:r>
              <w:t>6.5</w:t>
            </w:r>
          </w:p>
        </w:tc>
        <w:tc>
          <w:tcPr>
            <w:tcW w:type="dxa" w:w="1440"/>
          </w:tcPr>
          <w:p>
            <w:r>
              <w:t>5,463</w:t>
            </w:r>
          </w:p>
        </w:tc>
        <w:tc>
          <w:tcPr>
            <w:tcW w:type="dxa" w:w="1440"/>
          </w:tcPr>
          <w:p>
            <w:r>
              <w:t>23.0</w:t>
            </w:r>
          </w:p>
        </w:tc>
        <w:tc>
          <w:tcPr>
            <w:tcW w:type="dxa" w:w="1440"/>
          </w:tcPr>
          <w:p>
            <w:r>
              <w:t>989</w:t>
            </w:r>
          </w:p>
        </w:tc>
      </w:tr>
      <w:tr>
        <w:tc>
          <w:tcPr>
            <w:tcW w:type="dxa" w:w="1440"/>
          </w:tcPr>
          <w:p>
            <w:r>
              <w:t>Normal</w:t>
            </w:r>
          </w:p>
        </w:tc>
        <w:tc>
          <w:tcPr>
            <w:tcW w:type="dxa" w:w="1440"/>
          </w:tcPr>
          <w:p>
            <w:r>
              <w:t>0.40</w:t>
            </w:r>
          </w:p>
        </w:tc>
        <w:tc>
          <w:tcPr>
            <w:tcW w:type="dxa" w:w="1440"/>
          </w:tcPr>
          <w:p>
            <w:r>
              <w:t>19.0</w:t>
            </w:r>
          </w:p>
        </w:tc>
        <w:tc>
          <w:tcPr>
            <w:tcW w:type="dxa" w:w="1440"/>
          </w:tcPr>
          <w:p>
            <w:r>
              <w:t>16,084</w:t>
            </w:r>
          </w:p>
        </w:tc>
        <w:tc>
          <w:tcPr>
            <w:tcW w:type="dxa" w:w="1440"/>
          </w:tcPr>
          <w:p>
            <w:r>
              <w:t>41.0</w:t>
            </w:r>
          </w:p>
        </w:tc>
        <w:tc>
          <w:tcPr>
            <w:tcW w:type="dxa" w:w="1440"/>
          </w:tcPr>
          <w:p>
            <w:r>
              <w:t>1275</w:t>
            </w:r>
          </w:p>
        </w:tc>
      </w:tr>
      <w:tr>
        <w:tc>
          <w:tcPr>
            <w:tcW w:type="dxa" w:w="1440"/>
          </w:tcPr>
          <w:p>
            <w:r>
              <w:t>Wet</w:t>
            </w:r>
          </w:p>
        </w:tc>
        <w:tc>
          <w:tcPr>
            <w:tcW w:type="dxa" w:w="1440"/>
          </w:tcPr>
          <w:p>
            <w:r>
              <w:t>0.70</w:t>
            </w:r>
          </w:p>
        </w:tc>
        <w:tc>
          <w:tcPr>
            <w:tcW w:type="dxa" w:w="1440"/>
          </w:tcPr>
          <w:p>
            <w:r>
              <w:t>38.2</w:t>
            </w:r>
          </w:p>
        </w:tc>
        <w:tc>
          <w:tcPr>
            <w:tcW w:type="dxa" w:w="1440"/>
          </w:tcPr>
          <w:p>
            <w:r>
              <w:t>25,816</w:t>
            </w:r>
          </w:p>
        </w:tc>
        <w:tc>
          <w:tcPr>
            <w:tcW w:type="dxa" w:w="1440"/>
          </w:tcPr>
          <w:p>
            <w:r>
              <w:t>51.5</w:t>
            </w:r>
          </w:p>
        </w:tc>
        <w:tc>
          <w:tcPr>
            <w:tcW w:type="dxa" w:w="1440"/>
          </w:tcPr>
          <w:p>
            <w:r>
              <w:t>1245</w:t>
            </w:r>
          </w:p>
        </w:tc>
      </w:tr>
      <w:tr>
        <w:tc>
          <w:tcPr>
            <w:tcW w:type="dxa" w:w="1440"/>
          </w:tcPr>
          <w:p>
            <w:r>
              <w:t>Extreme</w:t>
            </w:r>
          </w:p>
        </w:tc>
        <w:tc>
          <w:tcPr>
            <w:tcW w:type="dxa" w:w="1440"/>
          </w:tcPr>
          <w:p>
            <w:r>
              <w:t>1.00</w:t>
            </w:r>
          </w:p>
        </w:tc>
        <w:tc>
          <w:tcPr>
            <w:tcW w:type="dxa" w:w="1440"/>
          </w:tcPr>
          <w:p>
            <w:r>
              <w:t>60.7</w:t>
            </w:r>
          </w:p>
        </w:tc>
        <w:tc>
          <w:tcPr>
            <w:tcW w:type="dxa" w:w="1440"/>
          </w:tcPr>
          <w:p>
            <w:r>
              <w:t>25,816</w:t>
            </w:r>
          </w:p>
        </w:tc>
        <w:tc>
          <w:tcPr>
            <w:tcW w:type="dxa" w:w="1440"/>
          </w:tcPr>
          <w:p>
            <w:r>
              <w:t>51.5</w:t>
            </w:r>
          </w:p>
        </w:tc>
        <w:tc>
          <w:tcPr>
            <w:tcW w:type="dxa" w:w="1440"/>
          </w:tcPr>
          <w:p>
            <w:r>
              <w:t>1245</w:t>
            </w:r>
          </w:p>
        </w:tc>
      </w:tr>
    </w:tbl>
    <w:p>
      <w:r>
        <w:rPr>
          <w:b/>
          <w:i w:val="0"/>
          <w:color w:val="B24A2A"/>
          <w:sz w:val="24"/>
        </w:rPr>
        <w:t>10.3 OSM features captured</w:t>
      </w:r>
    </w:p>
    <w:tbl>
      <w:tblPr>
        <w:tblStyle w:val="LightList-Accent1"/>
        <w:tblW w:type="auto" w:w="0"/>
        <w:tblLook w:firstColumn="1" w:firstRow="1" w:lastColumn="0" w:lastRow="0" w:noHBand="0" w:noVBand="1" w:val="04A0"/>
      </w:tblPr>
      <w:tblGrid>
        <w:gridCol w:w="4320"/>
        <w:gridCol w:w="4320"/>
      </w:tblGrid>
      <w:tr>
        <w:tc>
          <w:tcPr>
            <w:tcW w:type="dxa" w:w="3969"/>
            <w:shd w:val="clear" w:color="auto" w:fill="1F6688"/>
          </w:tcPr>
          <w:p>
            <w:r>
              <w:rPr>
                <w:b/>
                <w:color w:val="FFFFFF"/>
              </w:rPr>
              <w:t>Feature type</w:t>
            </w:r>
          </w:p>
        </w:tc>
        <w:tc>
          <w:tcPr>
            <w:tcW w:type="dxa" w:w="5102"/>
            <w:shd w:val="clear" w:color="auto" w:fill="1F6688"/>
          </w:tcPr>
          <w:p>
            <w:r>
              <w:rPr>
                <w:b/>
                <w:color w:val="FFFFFF"/>
              </w:rPr>
              <w:t>Count</w:t>
            </w:r>
          </w:p>
        </w:tc>
      </w:tr>
      <w:tr>
        <w:tc>
          <w:tcPr>
            <w:tcW w:type="dxa" w:w="3969"/>
          </w:tcPr>
          <w:p>
            <w:r>
              <w:rPr>
                <w:b/>
              </w:rPr>
              <w:t>Buildings</w:t>
            </w:r>
          </w:p>
        </w:tc>
        <w:tc>
          <w:tcPr>
            <w:tcW w:type="dxa" w:w="5102"/>
          </w:tcPr>
          <w:p>
            <w:r>
              <w:t>6</w:t>
            </w:r>
          </w:p>
        </w:tc>
      </w:tr>
      <w:tr>
        <w:tc>
          <w:tcPr>
            <w:tcW w:type="dxa" w:w="3969"/>
          </w:tcPr>
          <w:p>
            <w:r>
              <w:rPr>
                <w:b/>
              </w:rPr>
              <w:t>Roads (highway ways)</w:t>
            </w:r>
          </w:p>
        </w:tc>
        <w:tc>
          <w:tcPr>
            <w:tcW w:type="dxa" w:w="5102"/>
          </w:tcPr>
          <w:p>
            <w:r>
              <w:t>15</w:t>
            </w:r>
          </w:p>
        </w:tc>
      </w:tr>
      <w:tr>
        <w:tc>
          <w:tcPr>
            <w:tcW w:type="dxa" w:w="3969"/>
          </w:tcPr>
          <w:p>
            <w:r>
              <w:rPr>
                <w:b/>
              </w:rPr>
              <w:t>Waterways</w:t>
            </w:r>
          </w:p>
        </w:tc>
        <w:tc>
          <w:tcPr>
            <w:tcW w:type="dxa" w:w="5102"/>
          </w:tcPr>
          <w:p>
            <w:r>
              <w:t>47</w:t>
            </w:r>
          </w:p>
        </w:tc>
      </w:tr>
      <w:tr>
        <w:tc>
          <w:tcPr>
            <w:tcW w:type="dxa" w:w="3969"/>
          </w:tcPr>
          <w:p>
            <w:r>
              <w:rPr>
                <w:b/>
              </w:rPr>
              <w:t>Places</w:t>
            </w:r>
          </w:p>
        </w:tc>
        <w:tc>
          <w:tcPr>
            <w:tcW w:type="dxa" w:w="5102"/>
          </w:tcPr>
          <w:p>
            <w:r>
              <w:t>0</w:t>
            </w:r>
          </w:p>
        </w:tc>
      </w:tr>
      <w:tr>
        <w:tc>
          <w:tcPr>
            <w:tcW w:type="dxa" w:w="3969"/>
          </w:tcPr>
          <w:p>
            <w:r>
              <w:rPr>
                <w:b/>
              </w:rPr>
              <w:t>Peaks</w:t>
            </w:r>
          </w:p>
        </w:tc>
        <w:tc>
          <w:tcPr>
            <w:tcW w:type="dxa" w:w="5102"/>
          </w:tcPr>
          <w:p>
            <w:r>
              <w:t>1</w:t>
            </w:r>
          </w:p>
        </w:tc>
      </w:tr>
      <w:tr>
        <w:tc>
          <w:tcPr>
            <w:tcW w:type="dxa" w:w="3969"/>
          </w:tcPr>
          <w:p>
            <w:r>
              <w:rPr>
                <w:b/>
              </w:rPr>
              <w:t>POIs</w:t>
            </w:r>
          </w:p>
        </w:tc>
        <w:tc>
          <w:tcPr>
            <w:tcW w:type="dxa" w:w="5102"/>
          </w:tcPr>
          <w:p>
            <w:r>
              <w:t>1</w:t>
            </w:r>
          </w:p>
        </w:tc>
      </w:tr>
      <w:tr>
        <w:tc>
          <w:tcPr>
            <w:tcW w:type="dxa" w:w="3969"/>
          </w:tcPr>
          <w:p>
            <w:r>
              <w:rPr>
                <w:b/>
              </w:rPr>
              <w:t>Admin boundaries</w:t>
            </w:r>
          </w:p>
        </w:tc>
        <w:tc>
          <w:tcPr>
            <w:tcW w:type="dxa" w:w="5102"/>
          </w:tcPr>
          <w:p>
            <w:r>
              <w:t>24</w:t>
            </w:r>
          </w:p>
        </w:tc>
      </w:tr>
      <w:tr>
        <w:tc>
          <w:tcPr>
            <w:tcW w:type="dxa" w:w="3969"/>
          </w:tcPr>
          <w:p>
            <w:r>
              <w:rPr>
                <w:b/>
              </w:rPr>
              <w:t>Water bodies</w:t>
            </w:r>
          </w:p>
        </w:tc>
        <w:tc>
          <w:tcPr>
            <w:tcW w:type="dxa" w:w="5102"/>
          </w:tcPr>
          <w:p>
            <w:r>
              <w:t>0</w:t>
            </w:r>
          </w:p>
        </w:tc>
      </w:tr>
      <w:tr>
        <w:tc>
          <w:tcPr>
            <w:tcW w:type="dxa" w:w="3969"/>
          </w:tcPr>
          <w:p>
            <w:r>
              <w:rPr>
                <w:b/>
              </w:rPr>
              <w:t>Landuse polygons</w:t>
            </w:r>
          </w:p>
        </w:tc>
        <w:tc>
          <w:tcPr>
            <w:tcW w:type="dxa" w:w="5102"/>
          </w:tcPr>
          <w:p>
            <w:r>
              <w:t>0</w:t>
            </w:r>
          </w:p>
        </w:tc>
      </w:tr>
    </w:tbl>
    <w:p/>
    <w:p/>
    <w:p>
      <w:pPr>
        <w:pStyle w:val="Heading1"/>
      </w:pPr>
      <w:r>
        <w:rPr>
          <w:color w:val="1F6688"/>
        </w:rPr>
        <w:t>11. Reproducibility &amp; Audit Trail</w:t>
      </w:r>
    </w:p>
    <w:p>
      <w:r>
        <w:rPr>
          <w:b w:val="0"/>
          <w:i w:val="0"/>
          <w:color w:val="1A1F2B"/>
        </w:rPr>
        <w:t>Anyone with the source repository and an internet connection can rebuild the entire model bit-for-bit using a single command:</w:t>
      </w:r>
    </w:p>
    <w:p>
      <w:pPr>
        <w:ind w:left="340"/>
      </w:pPr>
      <w:r>
        <w:rPr>
          <w:rFonts w:ascii="Consolas" w:hAnsi="Consolas"/>
          <w:rFonts w:ascii="Consolas" w:hAnsi="Consolas"/>
          <w:color w:val="1A1F2B"/>
          <w:sz w:val="19"/>
        </w:rPr>
        <w:t>python -m venv .venv</w:t>
        <w:br/>
        <w:t>.\.venv\Scripts\python.exe -m pip install -r requirements.txt</w:t>
        <w:br/>
        <w:t>.\.venv\Scripts\python.exe run_pipeline.py</w:t>
        <w:br/>
        <w:t>.\.venv\Scripts\python.exe -m http.server 8000</w:t>
        <w:br/>
        <w:t># open  http://localhost:8000/viewer/</w:t>
      </w:r>
    </w:p>
    <w:p>
      <w:r>
        <w:rPr>
          <w:b w:val="0"/>
          <w:i w:val="0"/>
          <w:color w:val="1A1F2B"/>
        </w:rPr>
        <w:t>Selective re-runs are supported with --only &lt;stage&gt; and --from &lt;stage&gt;, e.g. for fast iteration on the runout parameters:</w:t>
      </w:r>
    </w:p>
    <w:p>
      <w:pPr>
        <w:ind w:left="340"/>
      </w:pPr>
      <w:r>
        <w:rPr>
          <w:rFonts w:ascii="Consolas" w:hAnsi="Consolas"/>
          <w:rFonts w:ascii="Consolas" w:hAnsi="Consolas"/>
          <w:color w:val="1A1F2B"/>
          <w:sz w:val="19"/>
        </w:rPr>
        <w:t>.\.venv\Scripts\python.exe run_pipeline.py --from scenarios</w:t>
      </w:r>
    </w:p>
    <w:p>
      <w:r>
        <w:rPr>
          <w:b w:val="0"/>
          <w:i w:val="0"/>
          <w:color w:val="1A1F2B"/>
        </w:rPr>
        <w:t>run_manifest.json captures everything needed to audit a run: timestamp, duration, OS, Python version, every library + version, the entire config.yaml, per-stage results, and SHA-256 hashes for every output file. A second run can be byte-compared against the manifest to prove no silent drift.</w:t>
      </w:r>
    </w:p>
    <w:p/>
    <w:p/>
    <w:p>
      <w:pPr>
        <w:pStyle w:val="Heading1"/>
      </w:pPr>
      <w:r>
        <w:rPr>
          <w:color w:val="1F6688"/>
        </w:rPr>
        <w:t>12. Appendix - File Manifest</w:t>
      </w:r>
    </w:p>
    <w:p>
      <w:r>
        <w:rPr>
          <w:b w:val="0"/>
          <w:i w:val="0"/>
          <w:color w:val="1A1F2B"/>
        </w:rPr>
        <w:t>Selected files generated by the latest pipeline run, with their byte sizes. Full SHA-256 hashes are in data/outputs/run_manifest.json.</w:t>
      </w:r>
    </w:p>
    <w:tbl>
      <w:tblPr>
        <w:tblStyle w:val="LightList-Accent1"/>
        <w:tblW w:type="auto" w:w="0"/>
        <w:tblLook w:firstColumn="1" w:firstRow="1" w:lastColumn="0" w:lastRow="0" w:noHBand="0" w:noVBand="1" w:val="04A0"/>
      </w:tblPr>
      <w:tblGrid>
        <w:gridCol w:w="4320"/>
        <w:gridCol w:w="4320"/>
      </w:tblGrid>
      <w:tr>
        <w:tc>
          <w:tcPr>
            <w:tcW w:type="dxa" w:w="3402"/>
            <w:shd w:val="clear" w:color="auto" w:fill="1F6688"/>
          </w:tcPr>
          <w:p>
            <w:r>
              <w:rPr>
                <w:b/>
                <w:color w:val="FFFFFF"/>
              </w:rPr>
              <w:t>Path</w:t>
            </w:r>
          </w:p>
        </w:tc>
        <w:tc>
          <w:tcPr>
            <w:tcW w:type="dxa" w:w="5669"/>
            <w:shd w:val="clear" w:color="auto" w:fill="1F6688"/>
          </w:tcPr>
          <w:p>
            <w:r>
              <w:rPr>
                <w:b/>
                <w:color w:val="FFFFFF"/>
              </w:rPr>
              <w:t>What it is</w:t>
            </w:r>
          </w:p>
        </w:tc>
      </w:tr>
      <w:tr>
        <w:tc>
          <w:tcPr>
            <w:tcW w:type="dxa" w:w="3402"/>
          </w:tcPr>
          <w:p>
            <w:r>
              <w:rPr>
                <w:b/>
              </w:rPr>
              <w:t>data/outputs/terrain.bin</w:t>
            </w:r>
          </w:p>
        </w:tc>
        <w:tc>
          <w:tcPr>
            <w:tcW w:type="dxa" w:w="5669"/>
          </w:tcPr>
          <w:p>
            <w:r>
              <w:t>Float32 little-endian elevation grid for the 3D viewer.</w:t>
            </w:r>
          </w:p>
        </w:tc>
      </w:tr>
      <w:tr>
        <w:tc>
          <w:tcPr>
            <w:tcW w:type="dxa" w:w="3402"/>
          </w:tcPr>
          <w:p>
            <w:r>
              <w:rPr>
                <w:b/>
              </w:rPr>
              <w:t>data/outputs/terrain.json</w:t>
            </w:r>
          </w:p>
        </w:tc>
        <w:tc>
          <w:tcPr>
            <w:tcW w:type="dxa" w:w="5669"/>
          </w:tcPr>
          <w:p>
            <w:r>
              <w:t>Viewer metadata: AOI, layers, scenarios, exposure, shared stats.</w:t>
            </w:r>
          </w:p>
        </w:tc>
      </w:tr>
      <w:tr>
        <w:tc>
          <w:tcPr>
            <w:tcW w:type="dxa" w:w="3402"/>
          </w:tcPr>
          <w:p>
            <w:r>
              <w:rPr>
                <w:b/>
              </w:rPr>
              <w:t>data/outputs/tex_hillshade.png</w:t>
            </w:r>
          </w:p>
        </w:tc>
        <w:tc>
          <w:tcPr>
            <w:tcW w:type="dxa" w:w="5669"/>
          </w:tcPr>
          <w:p>
            <w:r>
              <w:t>Shaded-relief texture, mapped 1:1 to the elevation grid.</w:t>
            </w:r>
          </w:p>
        </w:tc>
      </w:tr>
      <w:tr>
        <w:tc>
          <w:tcPr>
            <w:tcW w:type="dxa" w:w="3402"/>
          </w:tcPr>
          <w:p>
            <w:r>
              <w:rPr>
                <w:b/>
              </w:rPr>
              <w:t>data/outputs/tex_slope.png</w:t>
            </w:r>
          </w:p>
        </w:tc>
        <w:tc>
          <w:tcPr>
            <w:tcW w:type="dxa" w:w="5669"/>
          </w:tcPr>
          <w:p>
            <w:r>
              <w:t>Slope gradient texture (green -&gt; yellow -&gt; red).</w:t>
            </w:r>
          </w:p>
        </w:tc>
      </w:tr>
      <w:tr>
        <w:tc>
          <w:tcPr>
            <w:tcW w:type="dxa" w:w="3402"/>
          </w:tcPr>
          <w:p>
            <w:r>
              <w:rPr>
                <w:b/>
              </w:rPr>
              <w:t>data/outputs/tex_susc_*.png</w:t>
            </w:r>
          </w:p>
        </w:tc>
        <w:tc>
          <w:tcPr>
            <w:tcW w:type="dxa" w:w="5669"/>
          </w:tcPr>
          <w:p>
            <w:r>
              <w:t>Per-scenario susceptibility texture (5 classes from FS).</w:t>
            </w:r>
          </w:p>
        </w:tc>
      </w:tr>
      <w:tr>
        <w:tc>
          <w:tcPr>
            <w:tcW w:type="dxa" w:w="3402"/>
          </w:tcPr>
          <w:p>
            <w:r>
              <w:rPr>
                <w:b/>
              </w:rPr>
              <w:t>data/outputs/tex_runout_*.png</w:t>
            </w:r>
          </w:p>
        </w:tc>
        <w:tc>
          <w:tcPr>
            <w:tcW w:type="dxa" w:w="5669"/>
          </w:tcPr>
          <w:p>
            <w:r>
              <w:t>Per-scenario runout texture (sources / transport / deposition).</w:t>
            </w:r>
          </w:p>
        </w:tc>
      </w:tr>
      <w:tr>
        <w:tc>
          <w:tcPr>
            <w:tcW w:type="dxa" w:w="3402"/>
          </w:tcPr>
          <w:p>
            <w:r>
              <w:rPr>
                <w:b/>
              </w:rPr>
              <w:t>data/outputs/features.json</w:t>
            </w:r>
          </w:p>
        </w:tc>
        <w:tc>
          <w:tcPr>
            <w:tcW w:type="dxa" w:w="5669"/>
          </w:tcPr>
          <w:p>
            <w:r>
              <w:t>Viewer-ready OSM features (buildings, roads, waterways, POIs, peaks, admin boundaries) with world coords + lat/lon.</w:t>
            </w:r>
          </w:p>
        </w:tc>
      </w:tr>
      <w:tr>
        <w:tc>
          <w:tcPr>
            <w:tcW w:type="dxa" w:w="3402"/>
          </w:tcPr>
          <w:p>
            <w:r>
              <w:rPr>
                <w:b/>
              </w:rPr>
              <w:t>data/outputs/run_manifest.json</w:t>
            </w:r>
          </w:p>
        </w:tc>
        <w:tc>
          <w:tcPr>
            <w:tcW w:type="dxa" w:w="5669"/>
          </w:tcPr>
          <w:p>
            <w:r>
              <w:t>Reproducibility manifest with timestamps + SHA-256 hashes.</w:t>
            </w:r>
          </w:p>
        </w:tc>
      </w:tr>
      <w:tr>
        <w:tc>
          <w:tcPr>
            <w:tcW w:type="dxa" w:w="3402"/>
          </w:tcPr>
          <w:p>
            <w:r>
              <w:rPr>
                <w:b/>
              </w:rPr>
              <w:t>docs/figures/*.png</w:t>
            </w:r>
          </w:p>
        </w:tc>
        <w:tc>
          <w:tcPr>
            <w:tcW w:type="dxa" w:w="5669"/>
          </w:tcPr>
          <w:p>
            <w:r>
              <w:t>Eight publication-ready thesis figures (matplotlib).</w:t>
            </w:r>
          </w:p>
        </w:tc>
      </w:tr>
      <w:tr>
        <w:tc>
          <w:tcPr>
            <w:tcW w:type="dxa" w:w="3402"/>
          </w:tcPr>
          <w:p>
            <w:r>
              <w:rPr>
                <w:b/>
              </w:rPr>
              <w:t>viewer/data/*</w:t>
            </w:r>
          </w:p>
        </w:tc>
        <w:tc>
          <w:tcPr>
            <w:tcW w:type="dxa" w:w="5669"/>
          </w:tcPr>
          <w:p>
            <w:r>
              <w:t>Mirror of the above for the local HTTP server to serve to the browser.</w:t>
            </w:r>
          </w:p>
        </w:tc>
      </w:tr>
      <w:tr>
        <w:tc>
          <w:tcPr>
            <w:tcW w:type="dxa" w:w="3402"/>
          </w:tcPr>
          <w:p>
            <w:r>
              <w:rPr>
                <w:b/>
              </w:rPr>
              <w:t>viewer/lib/three.module.js + OrbitControls.js</w:t>
            </w:r>
          </w:p>
        </w:tc>
        <w:tc>
          <w:tcPr>
            <w:tcW w:type="dxa" w:w="5669"/>
          </w:tcPr>
          <w:p>
            <w:r>
              <w:t>Three.js r160 bundled offline.</w:t>
            </w:r>
          </w:p>
        </w:tc>
      </w:tr>
      <w:tr>
        <w:tc>
          <w:tcPr>
            <w:tcW w:type="dxa" w:w="3402"/>
          </w:tcPr>
          <w:p>
            <w:r>
              <w:rPr>
                <w:b/>
              </w:rPr>
              <w:t>viewer/lib/leaflet.js + leaflet.css + images/*</w:t>
            </w:r>
          </w:p>
        </w:tc>
        <w:tc>
          <w:tcPr>
            <w:tcW w:type="dxa" w:w="5669"/>
          </w:tcPr>
          <w:p>
            <w:r>
              <w:t>Leaflet 1.9.4 bundled offline.</w:t>
            </w:r>
          </w:p>
        </w:tc>
      </w:tr>
      <w:tr>
        <w:tc>
          <w:tcPr>
            <w:tcW w:type="dxa" w:w="3402"/>
          </w:tcPr>
          <w:p>
            <w:r>
              <w:rPr>
                <w:b/>
              </w:rPr>
              <w:t>docs/METHODOLOGY.md, DATA_SOURCES.md, TOOLS_SETUP.md</w:t>
            </w:r>
          </w:p>
        </w:tc>
        <w:tc>
          <w:tcPr>
            <w:tcW w:type="dxa" w:w="5669"/>
          </w:tcPr>
          <w:p>
            <w:r>
              <w:t>Companion markdown documentation.</w:t>
            </w:r>
          </w:p>
        </w:tc>
      </w:tr>
    </w:tbl>
    <w:p/>
    <w:p>
      <w:pPr>
        <w:jc w:val="center"/>
      </w:pPr>
      <w:r>
        <w:rPr>
          <w:b w:val="0"/>
          <w:i/>
          <w:color w:val="556072"/>
          <w:sz w:val="20"/>
        </w:rPr>
        <w:t>End of document. Generated automatically by make_docx.py from the current run_manifest.json + terrain.json + features.json so the numbers above always match the latest pipeline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