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Science Assignment — Tasks 1–3</w:t>
      </w:r>
    </w:p>
    <w:p>
      <w:pPr>
        <w:jc w:val="center"/>
      </w:pPr>
      <w:r>
        <w:rPr>
          <w:i/>
        </w:rPr>
        <w:t>Clustering, Dimensionality Reduction, Feature Selection, Time-Series Forecasting &amp; Sentiment Analysis</w:t>
      </w:r>
    </w:p>
    <w:p>
      <w:pPr>
        <w:jc w:val="center"/>
      </w:pPr>
      <w:r>
        <w:t>Author: Allen Mendiola</w:t>
        <w:br/>
        <w:t>Tools: Python, scikit-learn, statsmodels, Matplotlib/Seaborn, TextBlob/VADER</w:t>
      </w:r>
    </w:p>
    <w:p>
      <w:r>
        <w:t>This document collates the written responses, results and interpretations for all parts. Each part has an accompanying Python script that reproduces the figures and numbers cited here.</w:t>
      </w:r>
    </w:p>
    <w:p>
      <w:r>
        <w:br w:type="page"/>
      </w:r>
    </w:p>
    <w:p>
      <w:pPr>
        <w:pStyle w:val="Heading1"/>
      </w:pPr>
      <w:r>
        <w:t>Task 1 — Part 1: Customer Segmentation with K-Means (Mall_Customers)</w:t>
      </w:r>
    </w:p>
    <w:p>
      <w:r>
        <w:t>Script: task1/part1/task1_part1_kmeans.py</w:t>
      </w:r>
    </w:p>
    <w:p>
      <w:pPr>
        <w:pStyle w:val="Heading3"/>
      </w:pPr>
      <w:r>
        <w:t>Method</w:t>
      </w:r>
    </w:p>
    <w:p>
      <w:pPr>
        <w:pStyle w:val="ListBullet"/>
      </w:pPr>
      <w:r>
        <w:t>Features used: Age, Annual Income (k$), Spending Score (1–100), standardised with StandardScaler. CustomerID is an identifier; Gender is kept only for profiling.</w:t>
      </w:r>
    </w:p>
    <w:p>
      <w:pPr>
        <w:pStyle w:val="ListBullet"/>
      </w:pPr>
      <w:r>
        <w:t>Elbow method (inertia) and Silhouette analysis were run for k = 2..10.</w:t>
      </w:r>
    </w:p>
    <w:p>
      <w:pPr>
        <w:pStyle w:val="ListBullet"/>
      </w:pPr>
      <w:r>
        <w:t>The inertia curve bends clearly around k = 5 (elbow). The silhouette score is high and stable from k = 5 (0.417) onward, peaking marginally at k = 6 (0.428). k = 5 was chosen as it sits at the elbow and yields the cleanest, most interpretable, well-separated segments.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156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elbow_silhouet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5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1.1.1 — Elbow method and silhouette analysis.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169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income_vs_spend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1.1.2 — Final 5 segments: Annual Income vs Spending Score (centroids in black).</w:t>
      </w:r>
    </w:p>
    <w:p>
      <w:pPr>
        <w:pStyle w:val="Heading3"/>
      </w:pPr>
      <w:r>
        <w:t>Cluster profiles &amp; business insights (k = 5)</w:t>
      </w:r>
    </w:p>
    <w:p>
      <w:pPr>
        <w:pStyle w:val="ListBullet"/>
      </w:pPr>
      <w:r>
        <w:t>Cluster 2 — Premium / Target (n=40): high income (~86k), high spending (~82), avg age 33. Best ROI for loyalty programmes, premium products and personalised offers.</w:t>
      </w:r>
    </w:p>
    <w:p>
      <w:pPr>
        <w:pStyle w:val="ListBullet"/>
      </w:pPr>
      <w:r>
        <w:t>Cluster 3 — Wealthy but frugal (n=39): high income (~86k), low spending (~19). Untapped potential — investigate why they don't spend; targeted incentives could convert them.</w:t>
      </w:r>
    </w:p>
    <w:p>
      <w:pPr>
        <w:pStyle w:val="ListBullet"/>
      </w:pPr>
      <w:r>
        <w:t>Cluster 1 — Young enthusiasts (n=54): young (~25), moderate income (~41k), high spending (~62). Trend-driven, responsive to promotions and social campaigns.</w:t>
      </w:r>
    </w:p>
    <w:p>
      <w:pPr>
        <w:pStyle w:val="ListBullet"/>
      </w:pPr>
      <w:r>
        <w:t>Cluster 4 — Mainstream / Standard (n=47): older (~56), mid income/spend. Stable core customers; retain with value bundles.</w:t>
      </w:r>
    </w:p>
    <w:p>
      <w:pPr>
        <w:pStyle w:val="ListBullet"/>
      </w:pPr>
      <w:r>
        <w:t>Cluster 0 — Low value (n=20): low income (~27k), low spending (~18). Low-cost engagement only (discounts, essentials).</w:t>
      </w:r>
    </w:p>
    <w:p>
      <w:pPr>
        <w:pStyle w:val="Heading3"/>
      </w:pPr>
      <w:r>
        <w:t>Question 1 — Why is choosing the number of clusters crucial? Elbow vs Silhouette.</w:t>
      </w:r>
    </w:p>
    <w:p>
      <w:r>
        <w:t>The number of clusters defines the segmentation itself. Too few clusters merge distinct customer groups (e.g. premium spenders blended with frugal high-earners), so marketing is mistargeted; too many clusters fragment the base into tiny, non-actionable groups and overfit noise. The Elbow method plots within-cluster SSE (inertia) against k and looks for the 'elbow' where adding clusters stops yielding large gains — it is fast and intuitive but subjective when the bend is gradual. Silhouette analysis measures how well each point fits its own cluster versus the nearest other cluster (range −1..1); it gives a quantitative, comparable score and also reveals mis-assigned points. Prefer the Elbow for a quick first estimate; prefer Silhouette when the elbow is ambiguous or when you need an objective, defensible choice. Using both together (as done here) is best practice.</w:t>
      </w:r>
    </w:p>
    <w:p>
      <w:pPr>
        <w:pStyle w:val="Heading3"/>
      </w:pPr>
      <w:r>
        <w:t>Question 2 — Key limitations of K-Means and how to address them.</w:t>
      </w:r>
    </w:p>
    <w:p>
      <w:pPr>
        <w:pStyle w:val="ListBullet"/>
      </w:pPr>
      <w:r>
        <w:t>Poor initialisation: random seeds can converge to bad local optima. Mitigation: k-means++ initialisation (default here) and n_init multiple restarts.</w:t>
      </w:r>
    </w:p>
    <w:p>
      <w:pPr>
        <w:pStyle w:val="ListBullet"/>
      </w:pPr>
      <w:r>
        <w:t>Sensitivity to outliers: means are pulled by extreme values. Mitigation: remove/cap outliers, or use K-Medoids / robust scaling.</w:t>
      </w:r>
    </w:p>
    <w:p>
      <w:pPr>
        <w:pStyle w:val="ListBullet"/>
      </w:pPr>
      <w:r>
        <w:t>Assumes spherical, equal-size clusters (Euclidean): fails on elongated or density-varying shapes. Mitigation: Gaussian Mixture Models, DBSCAN or spectral clustering.</w:t>
      </w:r>
    </w:p>
    <w:p>
      <w:pPr>
        <w:pStyle w:val="ListBullet"/>
      </w:pPr>
      <w:r>
        <w:t>Requires k in advance and needs feature scaling: address with Elbow/Silhouette and standardisation (both done here).</w:t>
      </w:r>
    </w:p>
    <w:p>
      <w:r>
        <w:br w:type="page"/>
      </w:r>
    </w:p>
    <w:p>
      <w:pPr>
        <w:pStyle w:val="Heading1"/>
      </w:pPr>
      <w:r>
        <w:t>Task 1 — Part 2: PCA on the Wine Quality Dataset (winequality-red)</w:t>
      </w:r>
    </w:p>
    <w:p>
      <w:r>
        <w:t>Script: task1/part2/task1_part2_pca.py</w:t>
      </w:r>
    </w:p>
    <w:p>
      <w:pPr>
        <w:pStyle w:val="Heading3"/>
      </w:pPr>
      <w:r>
        <w:t>Preprocessing &amp; results</w:t>
      </w:r>
    </w:p>
    <w:p>
      <w:pPr>
        <w:pStyle w:val="ListBullet"/>
      </w:pPr>
      <w:r>
        <w:t>No missing values. 11 physicochemical features were standardised (mean 0, std 1); the target `quality` was excluded from PCA.</w:t>
      </w:r>
    </w:p>
    <w:p>
      <w:pPr>
        <w:pStyle w:val="ListBullet"/>
      </w:pPr>
      <w:r>
        <w:t>Minimum components to retain ≥90% variance: 7 (cumulative variance reaches 90.83% at PC7). PC1 explains 28.2% and PC2 17.5% (45.7% together).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15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explained_vari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5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1.2.1 — Scree plot and cumulative explained variance (90% line at 7 components).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ca_scat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1.2.2 — Wines in PC1–PC2 space coloured by quality category.</w:t>
      </w:r>
    </w:p>
    <w:p>
      <w:pPr>
        <w:pStyle w:val="Heading3"/>
      </w:pPr>
      <w:r>
        <w:t>Interpretation / reflection</w:t>
      </w:r>
    </w:p>
    <w:p>
      <w:pPr>
        <w:pStyle w:val="ListBullet"/>
      </w:pPr>
      <w:r>
        <w:t>Components for 90% variance: 7 of 11 — modest reduction, indicating the variance is spread across many features rather than concentrated in a few.</w:t>
      </w:r>
    </w:p>
    <w:p>
      <w:pPr>
        <w:pStyle w:val="ListBullet"/>
      </w:pPr>
      <w:r>
        <w:t>2D plot observation: the three quality categories (Low 3–5, Medium 6, High 7–8) overlap heavily — there are NO clean, separable clusters by quality in the first two PCs. Quality is only weakly aligned with the directions of greatest variance.</w:t>
      </w:r>
    </w:p>
    <w:p>
      <w:pPr>
        <w:pStyle w:val="ListBullet"/>
      </w:pPr>
      <w:r>
        <w:t>Feature correlations/redundancy: PC1 is an 'acidity' axis (high positive loadings on fixed acidity, citric acid, density; strong negative on pH). PC2 is a 'sulphur dioxide' axis (free + total SO₂). These groupings reveal correlated/redundant feature blocks.</w:t>
      </w:r>
    </w:p>
    <w:p>
      <w:pPr>
        <w:pStyle w:val="Heading3"/>
      </w:pPr>
      <w:r>
        <w:t>Classification: original features vs reduced components</w:t>
      </w:r>
    </w:p>
    <w:p>
      <w:r>
        <w:t>A LogisticRegression classifier (3 quality classes, 5-fold CV accuracy) was trained on the original features versus the PCA-reduced components:</w:t>
      </w:r>
    </w:p>
    <w:p>
      <w:pPr>
        <w:pStyle w:val="ListBullet"/>
      </w:pPr>
      <w:r>
        <w:t>Original 11 standardised features: 0.612</w:t>
      </w:r>
    </w:p>
    <w:p>
      <w:pPr>
        <w:pStyle w:val="ListBullet"/>
      </w:pPr>
      <w:r>
        <w:t>PCA, 7 components (≥90% variance): 0.607 — essentially the same accuracy with 4 fewer dimensions, showing PCA preserves almost all predictive signal while reducing dimensionality.</w:t>
      </w:r>
    </w:p>
    <w:p>
      <w:pPr>
        <w:pStyle w:val="ListBullet"/>
      </w:pPr>
      <w:r>
        <w:t>PCA, 2 components: 0.538 — a clear drop, confirming the first two PCs alone are insufficient (consistent with the overlapping 2D scatter).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9391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lassification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3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1.2.3 — Classifier accuracy: original vs PCA-reduced features.</w:t>
      </w:r>
    </w:p>
    <w:p>
      <w:pPr>
        <w:pStyle w:val="Heading3"/>
      </w:pPr>
      <w:r>
        <w:t>Question 1 — How does PCA identify redundant/less-informative features?</w:t>
      </w:r>
    </w:p>
    <w:p>
      <w:r>
        <w:t>PCA rotates the data onto orthogonal axes ordered by variance. Features that are strongly correlated load together on the same component, so their shared information is captured once — exposing redundancy (here acidity-related features cluster on PC1, SO₂ features on PC2). Components with very small explained variance (the last PCs) correspond to directions where the data barely changes; features dominating only those directions carry little discriminative information and can often be dropped, reducing dimensionality without losing much signal.</w:t>
      </w:r>
    </w:p>
    <w:p>
      <w:pPr>
        <w:pStyle w:val="Heading3"/>
      </w:pPr>
      <w:r>
        <w:t>Question 2 — Why standardise before PCA, and what happens if we skip it?</w:t>
      </w:r>
    </w:p>
    <w:p>
      <w:r>
        <w:t>PCA maximises variance, and variance is scale-dependent. Without standardisation a feature with a large numeric range (e.g. total sulfur dioxide, tens–hundreds) would dominate the first components purely because of its units, while small-scale features (e.g. chlorides or density near 1) are ignored — the result reflects measurement units, not true structure. Standardising to mean 0 / variance 1 puts all features on equal footing so PCA captures genuine correlation structure.</w:t>
      </w:r>
    </w:p>
    <w:p>
      <w:r>
        <w:br w:type="page"/>
      </w:r>
    </w:p>
    <w:p>
      <w:pPr>
        <w:pStyle w:val="Heading1"/>
      </w:pPr>
      <w:r>
        <w:t>Task 1 — Part 3: Time-Series Decomposition &amp; Forecasting</w:t>
      </w:r>
    </w:p>
    <w:p>
      <w:r>
        <w:t>Script: task1/part3/task1_part3_timeseries.py</w:t>
      </w:r>
    </w:p>
    <w:p>
      <w:pPr>
        <w:pStyle w:val="Heading3"/>
      </w:pPr>
      <w:r>
        <w:t>1. Data generation &amp; visualisation</w:t>
      </w:r>
    </w:p>
    <w:p>
      <w:pPr>
        <w:pStyle w:val="ListBullet"/>
      </w:pPr>
      <w:r>
        <w:t>Synthetic daily series of 425 points = 365 (train) + 60 (test): linear upward trend (0.10/day) + weekly 7-day sine seasonality (amplitude 10) + Gaussian noise (mean 0, std 3).</w:t>
      </w:r>
    </w:p>
    <w:p>
      <w:pPr>
        <w:pStyle w:val="ListBullet"/>
      </w:pPr>
      <w:r>
        <w:t>The upward trend is clearly visible; the weekly pattern is strong and regular (amplitude 10 vs noise std 3); the noise is comparatively low, so the structure dominates.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15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timeseri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5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1.3.1 — Generated time series with train/test split.</w:t>
      </w:r>
    </w:p>
    <w:p>
      <w:pPr>
        <w:pStyle w:val="Heading3"/>
      </w:pPr>
      <w:r>
        <w:t>2. Decomposition (period = 7)</w:t>
      </w:r>
    </w:p>
    <w:p>
      <w:pPr>
        <w:pStyle w:val="ListBullet"/>
      </w:pPr>
      <w:r>
        <w:t>Both additive and multiplicative seasonal_decompose were applied. Because the series is built additively, the additive model captures seasonality best: its residual mean ≈ 0.009 (centred on zero). The multiplicative residuals centre on ≈ 1.0 by construction but show slightly more structure, as expected for a non-multiplicative process.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7241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decompose_additi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724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1.3.2 — Additive decomposition (observed, trend, seasonal, residual).</w:t>
      </w:r>
    </w:p>
    <w:p>
      <w:pPr>
        <w:pStyle w:val="Heading3"/>
      </w:pPr>
      <w:r>
        <w:t>3–4. Forecasting (60 days) &amp; evaluation</w:t>
      </w:r>
    </w:p>
    <w:p>
      <w:r>
        <w:t>Three methods forecast the 60-day horizon. Accuracy on the test set:</w:t>
      </w:r>
    </w:p>
    <w:p>
      <w:pPr>
        <w:pStyle w:val="ListBullet"/>
      </w:pPr>
      <w:r>
        <w:t>7-day Moving Average — MAE 7.86, MSE 80.91, MAPE 8.57%</w:t>
      </w:r>
    </w:p>
    <w:p>
      <w:pPr>
        <w:pStyle w:val="ListBullet"/>
      </w:pPr>
      <w:r>
        <w:t>Simple Exponential Smoothing (SES) — MAE 7.62, MSE 74.72, MAPE 8.42%  (best)</w:t>
      </w:r>
    </w:p>
    <w:p>
      <w:pPr>
        <w:pStyle w:val="ListBullet"/>
      </w:pPr>
      <w:r>
        <w:t>ARIMA(1,1,1) — MAE 8.64, MSE 106.68, MAPE 9.19%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587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forecas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8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1.3.3 — Actual vs predicted (3 methods).</w:t>
      </w:r>
    </w:p>
    <w:p>
      <w:r>
        <w:t>SES gives the lowest errors here, but all three under-perform on the seasonal structure: none of them model the weekly cycle, so they essentially track the trend/level and miss the peaks and troughs. This is expected and motivates seasonal models (e.g. SARIMA / Holt-Winters).</w:t>
      </w:r>
    </w:p>
    <w:p>
      <w:pPr>
        <w:pStyle w:val="Heading3"/>
      </w:pPr>
      <w:r>
        <w:t>5. Interpretation &amp; reflection</w:t>
      </w:r>
    </w:p>
    <w:p>
      <w:pPr>
        <w:pStyle w:val="ListBullet"/>
      </w:pPr>
      <w:r>
        <w:t>Why does SES flatten after training? SES forecasts a constant equal to the last smoothed level — it has no trend or seasonal term, so every future point is the same value (a flat line).</w:t>
      </w:r>
    </w:p>
    <w:p>
      <w:pPr>
        <w:pStyle w:val="ListBullet"/>
      </w:pPr>
      <w:r>
        <w:t>What do decomposition residuals reveal? With residuals centred on ~0 (additive) and no remaining pattern, the trend + seasonal components captured the signal well; leftover structure would indicate an inadequate model or wrong period.</w:t>
      </w:r>
    </w:p>
    <w:p>
      <w:pPr>
        <w:pStyle w:val="ListBullet"/>
      </w:pPr>
      <w:r>
        <w:t>ARIMA vs Moving Average on seasonality: plain ARIMA(1,1,1) and a Moving Average both ignore seasonality — ARIMA models autocorrelation/trend via differencing and AR/MA terms but needs a seasonal extension (SARIMA) to handle the weekly cycle; the MA simply smooths recent values.</w:t>
      </w:r>
    </w:p>
    <w:p>
      <w:pPr>
        <w:pStyle w:val="ListBullet"/>
      </w:pPr>
      <w:r>
        <w:t>Real-world uses: Moving Average — quick smoothing/denoising of noisy KPIs; SES — short-horizon demand with no trend/season; ARIMA — trended series with autocorrelation (sales, finance).</w:t>
      </w:r>
    </w:p>
    <w:p>
      <w:r>
        <w:t>Discussion — Why decompose before forecasting? It exposes trend, seasonality and noise separately, so you choose a model that matches the structure (e.g. a seasonal model when a strong weekly cycle exists) and can de-seasonalise data. ARIMA's limitation in seasonal data: non-seasonal ARIMA cannot represent repeating cycles; it needs SARIMA (seasonal orders) or external seasonal features, otherwise it systematically misses periodic peaks/troughs — exactly what we observed.</w:t>
      </w:r>
    </w:p>
    <w:p>
      <w:r>
        <w:br w:type="page"/>
      </w:r>
    </w:p>
    <w:p>
      <w:pPr>
        <w:pStyle w:val="Heading1"/>
      </w:pPr>
      <w:r>
        <w:t>Task 2 — Part 1: Hierarchical Clustering (Wholesale customers)</w:t>
      </w:r>
    </w:p>
    <w:p>
      <w:r>
        <w:t>Script: task2/part1/task2_part1_hierarchical.py</w:t>
      </w:r>
    </w:p>
    <w:p>
      <w:pPr>
        <w:pStyle w:val="Heading3"/>
      </w:pPr>
      <w:r>
        <w:t>Method &amp; linkage comparison</w:t>
      </w:r>
    </w:p>
    <w:p>
      <w:pPr>
        <w:pStyle w:val="ListBullet"/>
      </w:pPr>
      <w:r>
        <w:t>Channel and Region were dropped (categorical IDs). The six spend features were log1p-transformed (heavy right skew) then standardised.</w:t>
      </w:r>
    </w:p>
    <w:p>
      <w:pPr>
        <w:pStyle w:val="ListBullet"/>
      </w:pPr>
      <w:r>
        <w:t>Dendrograms were built for single, complete, average and ward linkage. Single and average linkage 'chain' — they peel off 1–2 outliers and leave one giant cluster (sizes 438/1/1), so their high silhouette (~0.5) is misleading. Complete (402/33/5) and especially Ward (262/53/125) give balanced, interpretable clusters; Ward was chosen with k = 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dendrogram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2.1.1 — Dendrograms for four linkage methods.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560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luster_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2.1.2 — Mean annual spend per cluster (Ward, k=3).</w:t>
      </w:r>
    </w:p>
    <w:p>
      <w:pPr>
        <w:pStyle w:val="Heading3"/>
      </w:pPr>
      <w:r>
        <w:t>Business insights (Ward, k = 3)</w:t>
      </w:r>
    </w:p>
    <w:p>
      <w:pPr>
        <w:pStyle w:val="ListBullet"/>
      </w:pPr>
      <w:r>
        <w:t>Cluster 0 (n=262) — 'Fresh-focused': high Fresh spend, low Grocery/Detergents. Likely restaurants, cafés and HoReCa buyers. Push fresh-produce deals and reliable cold-chain delivery.</w:t>
      </w:r>
    </w:p>
    <w:p>
      <w:pPr>
        <w:pStyle w:val="ListBullet"/>
      </w:pPr>
      <w:r>
        <w:t>Cluster 2 (n=125) — 'Retail / Grocery': high Milk, Grocery, Detergents_Paper and Delicatessen. Supermarkets / large retailers. Offer bulk pricing and category bundles.</w:t>
      </w:r>
    </w:p>
    <w:p>
      <w:pPr>
        <w:pStyle w:val="ListBullet"/>
      </w:pPr>
      <w:r>
        <w:t>Cluster 1 (n=53) — 'Small grocery': moderate Grocery/Detergents, low Fresh. Smaller stores; mid-tier bundles and growth incentives.</w:t>
      </w:r>
    </w:p>
    <w:p>
      <w:pPr>
        <w:pStyle w:val="Heading3"/>
      </w:pPr>
      <w:r>
        <w:t>Question 1 — Why choose the right number of clusters? How do dendrograms help? Linkage effect.</w:t>
      </w:r>
    </w:p>
    <w:p>
      <w:r>
        <w:t>As in K-Means, the cluster count determines whether segments are meaningful and actionable. A dendrogram visualises the full merge hierarchy and the distance at which clusters join; cutting it where there is a large vertical gap (a long un-merged branch) suggests a natural number of clusters without committing to k in advance. The linkage method defines how inter-cluster distance is measured and strongly shapes the result: single linkage (nearest points) tends to chain and produce long, stringy clusters sensitive to outliers; complete linkage (farthest points) yields compact, similar-sized clusters; average linkage is a middle ground; Ward minimises within-cluster variance and gives balanced, spherical clusters — usually the most interpretable for customer segmentation, which is why single/average chained here while Ward did not.</w:t>
      </w:r>
    </w:p>
    <w:p>
      <w:pPr>
        <w:pStyle w:val="Heading3"/>
      </w:pPr>
      <w:r>
        <w:t>Question 2 — Limitations of hierarchical clustering vs K-Means; mitigation for wholesale data.</w:t>
      </w:r>
    </w:p>
    <w:p>
      <w:pPr>
        <w:pStyle w:val="ListBullet"/>
      </w:pPr>
      <w:r>
        <w:t>Computational cost: O(n²) memory/time — does not scale to very large customer bases (K-Means is much faster). Mitigate with sampling or Ward on a representative subset.</w:t>
      </w:r>
    </w:p>
    <w:p>
      <w:pPr>
        <w:pStyle w:val="ListBullet"/>
      </w:pPr>
      <w:r>
        <w:t>No reassignment: early merges are permanent, so mistakes propagate (K-Means iteratively reassigns). Mitigate by comparing linkages and validating with silhouette.</w:t>
      </w:r>
    </w:p>
    <w:p>
      <w:pPr>
        <w:pStyle w:val="ListBullet"/>
      </w:pPr>
      <w:r>
        <w:t>Sensitivity to outliers/scale and skew: heavy-tailed spend distorts distances. Mitigate with log transform + standardisation (done here) and outlier capping.</w:t>
      </w:r>
    </w:p>
    <w:p>
      <w:pPr>
        <w:pStyle w:val="ListBullet"/>
      </w:pPr>
      <w:r>
        <w:t>Shared with K-Means: results depend on distance metric and scaling; both struggle with arbitrarily shaped clusters (use DBSCAN there).</w:t>
      </w:r>
    </w:p>
    <w:p>
      <w:r>
        <w:br w:type="page"/>
      </w:r>
    </w:p>
    <w:p>
      <w:pPr>
        <w:pStyle w:val="Heading1"/>
      </w:pPr>
      <w:r>
        <w:t>Task 2 — Part 2: Preprocessing &amp; Feature Selection (Telco Churn)</w:t>
      </w:r>
    </w:p>
    <w:p>
      <w:r>
        <w:t>Script: task2/part2/task2_part2_churn.py</w:t>
      </w:r>
    </w:p>
    <w:p>
      <w:pPr>
        <w:pStyle w:val="Heading3"/>
      </w:pPr>
      <w:r>
        <w:t>1. Preprocessing &amp; scaling</w:t>
      </w:r>
    </w:p>
    <w:p>
      <w:pPr>
        <w:pStyle w:val="ListBullet"/>
      </w:pPr>
      <w:r>
        <w:t>Dropped customerID. TotalCharges had 11 blank entries → coerced to numeric and imputed with the median. Categorical columns one-hot encoded → 40 features. Target: Churn (Yes=1).</w:t>
      </w:r>
    </w:p>
    <w:p>
      <w:pPr>
        <w:pStyle w:val="ListBullet"/>
      </w:pPr>
      <w:r>
        <w:t>Scaler boxplots: RobustScaler handles outliers best (it uses median/IQR, so extreme MonthlyCharges/TotalCharges values are compressed); StandardScaler centres values around zero (mean 0, unit variance); MinMaxScaler squeezes into [0,1] but is the most distorted by outliers.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002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caler_boxplo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2.2.1 — Numeric features under MinMax / Standard / Robust scaling.</w:t>
      </w:r>
    </w:p>
    <w:p>
      <w:pPr>
        <w:pStyle w:val="Heading3"/>
      </w:pPr>
      <w:r>
        <w:t>2. Variance Threshold</w:t>
      </w:r>
    </w:p>
    <w:p>
      <w:pPr>
        <w:pStyle w:val="ListBullet"/>
      </w:pPr>
      <w:r>
        <w:t>VarianceThreshold(0.01) removed 0 features. After encoding, every column has variance above 0.01 — there are no near-constant dummies (no category is rarer than ~1%), so nothing is discarded. The filter is still informative: it confirms there is no dead/constant feature to drop.</w:t>
      </w:r>
    </w:p>
    <w:p>
      <w:pPr>
        <w:pStyle w:val="Heading3"/>
      </w:pPr>
      <w:r>
        <w:t>3. SelectKBest (chi²) vs RFE</w:t>
      </w:r>
    </w:p>
    <w:p>
      <w:pPr>
        <w:pStyle w:val="ListBullet"/>
      </w:pPr>
      <w:r>
        <w:t>SelectKBest(chi², k=10) selected mostly service/contract dummies: Fiber-optic internet, OnlineSecurity_No, TechSupport_No, Contract_Month-to-month, Contract_Two-year, Electronic-check payment, and several 'No internet service' indicators.</w:t>
      </w:r>
    </w:p>
    <w:p>
      <w:pPr>
        <w:pStyle w:val="ListBullet"/>
      </w:pPr>
      <w:r>
        <w:t>RFE(LogisticRegression, 10) selected the numeric drivers tenure, MonthlyCharges, TotalCharges plus Fiber-optic, Contract terms and service indicators.</w:t>
      </w:r>
    </w:p>
    <w:p>
      <w:pPr>
        <w:pStyle w:val="ListBullet"/>
      </w:pPr>
      <w:r>
        <w:t>Overlap = 5 (Contract_Month-to-month, Contract_Two-year, InternetService_Fiber-optic, DeviceProtection_No-internet-service, TechSupport_No-internet-service).</w:t>
      </w:r>
    </w:p>
    <w:p>
      <w:pPr>
        <w:pStyle w:val="ListBullet"/>
      </w:pPr>
      <w:r>
        <w:t>Why they differ: chi² is a univariate filter scoring each feature's association with the target independently, so it favours strong single dummies and (being non-negative-only) ignores the continuous tenure/charges directly; RFE is a multivariate wrapper that ranks features by their contribution within a logistic model, so it keeps the numeric predictors and accounts for interactions/redundancy. Filters are faster; wrappers are model-aware but costlier.</w:t>
      </w:r>
    </w:p>
    <w:p>
      <w:pPr>
        <w:pStyle w:val="Heading3"/>
      </w:pPr>
      <w:r>
        <w:t>4. LASSO for feature selection</w:t>
      </w:r>
    </w:p>
    <w:p>
      <w:pPr>
        <w:pStyle w:val="ListBullet"/>
      </w:pPr>
      <w:r>
        <w:t>LassoCV (α ≈ 0.00145 by 5-fold CV) kept 21 of 40 features with non-zero coefficients, shrinking the rest to exactly zero. Strongest signals: TotalCharges/tenure (negative → longer tenure lowers churn), Fiber-optic internet, Month-to-month contract, Electronic-check payment, no TechSupport/OnlineSecurity (all positive → higher churn).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1818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lasso_coefficien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181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2.2.2 — LASSO non-zero coefficients.</w:t>
      </w:r>
    </w:p>
    <w:p>
      <w:pPr>
        <w:pStyle w:val="ListBullet"/>
      </w:pPr>
      <w:r>
        <w:t>How LASSO handles correlated/redundant features: its L1 penalty tends to pick one feature from a correlated group and zero out the others, producing a sparse, less-redundant model — though the particular one chosen can be somewhat arbitrary among correlated features.</w:t>
      </w:r>
    </w:p>
    <w:p>
      <w:pPr>
        <w:pStyle w:val="Heading3"/>
      </w:pPr>
      <w:r>
        <w:t>5. Final pipeline &amp; evaluation</w:t>
      </w:r>
    </w:p>
    <w:p>
      <w:pPr>
        <w:pStyle w:val="ListBullet"/>
      </w:pPr>
      <w:r>
        <w:t>Pipeline: median imputation + StandardScaler (numeric) and most-frequent imputation + OneHot (categorical) → SelectFromModel(LassoCV) → LogisticRegression. LASSO selected 19 features.</w:t>
      </w:r>
    </w:p>
    <w:p>
      <w:pPr>
        <w:pStyle w:val="ListBullet"/>
      </w:pPr>
      <w:r>
        <w:t>Test metrics — Accuracy 0.805, ROC-AUC 0.843, RMSE 0.371, MAE 0.274. Strong, well-calibrated churn classifier from a compact feature set.</w:t>
      </w:r>
    </w:p>
    <w:p>
      <w:pPr>
        <w:pStyle w:val="Heading3"/>
      </w:pPr>
      <w:r>
        <w:t>Discussion questions</w:t>
      </w:r>
    </w:p>
    <w:p>
      <w:r>
        <w:t>1. Why encode AND scale before LASSO/PCA with mixed data types? LASSO and PCA are numeric and scale-sensitive: categorical variables must be encoded (e.g. one-hot) to become numeric, and all features must be scaled so the L1 penalty / variance maximisation treats them comparably. Skipping scaling lets large-range features dominate and distorts which coefficients are shrunk or which components are formed.</w:t>
      </w:r>
    </w:p>
    <w:p>
      <w:r>
        <w:t>2. How do embedded methods (LASSO) differ from filter and wrapper methods? Filter methods (e.g. chi², variance threshold) score features independently of any model — fast but ignore feature interactions. Wrapper methods (e.g. RFE) repeatedly train a model on feature subsets — accurate but expensive. Embedded methods like LASSO perform selection inside model training via a penalty term, getting model-aware selection at a single-fit cost — a balance between the two.</w:t>
      </w:r>
    </w:p>
    <w:p>
      <w:r>
        <w:br w:type="page"/>
      </w:r>
    </w:p>
    <w:p>
      <w:pPr>
        <w:pStyle w:val="Heading1"/>
      </w:pPr>
      <w:r>
        <w:t>Task 3 — Part 1: DBSCAN Clustering (Wine dataset)</w:t>
      </w:r>
    </w:p>
    <w:p>
      <w:r>
        <w:t>Script: task3/part1/task3_part1_dbscan.py</w:t>
      </w:r>
    </w:p>
    <w:p>
      <w:pPr>
        <w:pStyle w:val="Heading3"/>
      </w:pPr>
      <w:r>
        <w:t>Method &amp; results</w:t>
      </w:r>
    </w:p>
    <w:p>
      <w:pPr>
        <w:pStyle w:val="ListBullet"/>
      </w:pPr>
      <w:r>
        <w:t>13 physicochemical features standardised. min_samples = 10 (data has only 178 rows). The k-distance graph (k=10) gives a knee around eps ≈ 3.1, but at that radius almost all points are density-connected into one blob — the clusters have similar density and no clear density gap.</w:t>
      </w:r>
    </w:p>
    <w:p>
      <w:pPr>
        <w:pStyle w:val="ListBullet"/>
      </w:pPr>
      <w:r>
        <w:t>Experimenting over eps × min_samples, the most informative configuration is eps = 2.2, min_samples = 10 → 2 clusters with silhouette 0.394 and 89 noise points.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641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kdistan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3.1.1 — k-distance graph for choosing eps.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0428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dbscan_pca_tsn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3.1.2 — DBSCAN clusters in PCA and t-SNE space (noise marked).</w:t>
      </w:r>
    </w:p>
    <w:p>
      <w:pPr>
        <w:pStyle w:val="Heading3"/>
      </w:pPr>
      <w:r>
        <w:t>Noise &amp; insights</w:t>
      </w:r>
    </w:p>
    <w:p>
      <w:pPr>
        <w:pStyle w:val="ListBullet"/>
      </w:pPr>
      <w:r>
        <w:t>Outliers/noise (label −1, 89 points) are wines that lie in low-density regions between the dense cores — chemically 'in-between' wines that don't fit either dense group. DBSCAN flagging them prevents them from distorting the cluster profiles (unlike K-Means, which forces every point into a cluster).</w:t>
      </w:r>
    </w:p>
    <w:p>
      <w:pPr>
        <w:pStyle w:val="ListBullet"/>
      </w:pPr>
      <w:r>
        <w:t>Cluster 0: higher Flavanoids (~2.7) and Proline (~926) — richer, fuller-bodied profile. Cluster 1: high Malic acid (~3.8) and Color intensity (~8.1), low Flavanoids — a chemically distinct wine class. This separation is useful for quality control and wine-type identification.</w:t>
      </w:r>
    </w:p>
    <w:p>
      <w:pPr>
        <w:pStyle w:val="ListBullet"/>
      </w:pPr>
      <w:r>
        <w:t>Note: this dataset is roughly convex with similar-density groups, so DBSCAN is not the ideal algorithm here (K-Means/GMM separate the three known cultivars more cleanly) — itself a useful finding about when DBSCAN does and doesn't shine.</w:t>
      </w:r>
    </w:p>
    <w:p>
      <w:pPr>
        <w:pStyle w:val="Heading3"/>
      </w:pPr>
      <w:r>
        <w:t>Question 1 — Why is DBSCAN suitable for wine-type data (arbitrary shapes + noise)?</w:t>
      </w:r>
    </w:p>
    <w:p>
      <w:r>
        <w:t>DBSCAN groups points by density rather than distance to a centroid, so it can discover clusters of arbitrary, non-spherical shape and does not require the number of clusters in advance. Crucially it labels low-density points as noise, isolating anomalous or borderline wines instead of forcing them into a group. For complex chemical data with irregular structure and outliers this is advantageous — though, as seen above, it works best when clusters actually differ in density/are separated by sparse regions.</w:t>
      </w:r>
    </w:p>
    <w:p>
      <w:pPr>
        <w:pStyle w:val="Heading3"/>
      </w:pPr>
      <w:r>
        <w:t>Question 2 — How do eps and min_samples affect the result?</w:t>
      </w:r>
    </w:p>
    <w:p>
      <w:r>
        <w:t>eps sets the neighbourhood radius and min_samples the minimum points to form a dense core. Small eps (or large min_samples) makes the density requirement strict → many points become noise and clusters fragment or vanish (e.g. eps=2.0 left 139 points as noise). Large eps (or small min_samples) merges everything into one cluster and hides structure (eps≈3.1 gave a single cluster). The two must be tuned together — typically min_samples ≥ dim+1 and eps from the knee of the k-distance graph — trading off the number of clusters against how many points are treated as noise.</w:t>
      </w:r>
    </w:p>
    <w:p>
      <w:r>
        <w:br w:type="page"/>
      </w:r>
    </w:p>
    <w:p>
      <w:pPr>
        <w:pStyle w:val="Heading1"/>
      </w:pPr>
      <w:r>
        <w:t>Task 3 — Part 2: Rule-Based Sentiment Analysis (Tech Tweets)</w:t>
      </w:r>
    </w:p>
    <w:p>
      <w:r>
        <w:t>Script: task3/part2/task3_part2_sentiment.py</w:t>
      </w:r>
    </w:p>
    <w:p>
      <w:pPr>
        <w:pStyle w:val="Heading3"/>
      </w:pPr>
      <w:r>
        <w:t>Method &amp; results</w:t>
      </w:r>
    </w:p>
    <w:p>
      <w:pPr>
        <w:pStyle w:val="ListBullet"/>
      </w:pPr>
      <w:r>
        <w:t>5,000 tweets (balanced: ~1,650–1,684 per class). Cleaning: lowercase; removed URLs, @mentions, the # symbol, punctuation and numbers; collapsed whitespace.</w:t>
      </w:r>
    </w:p>
    <w:p>
      <w:pPr>
        <w:pStyle w:val="ListBullet"/>
      </w:pPr>
      <w:r>
        <w:t>Polarity scored with TextBlob and VADER. Labels: polarity &gt; 0 → positive, &lt; 0 → negative, = 0 → neutral (VADER used its standard ±0.05 compound thresholds).</w:t>
      </w:r>
    </w:p>
    <w:p>
      <w:pPr>
        <w:pStyle w:val="ListBullet"/>
      </w:pPr>
      <w:r>
        <w:t>Accuracy vs the ground-truth labels: TextBlob 0.670, VADER 0.691.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505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m_vad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50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3.2.1 — VADER confusion matrix.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505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m_textblob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50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3.2.2 — TextBlob confusion matrix.</w:t>
      </w:r>
    </w:p>
    <w:p>
      <w:pPr>
        <w:pStyle w:val="Heading3"/>
      </w:pPr>
      <w:r>
        <w:t>Interpretation &amp; reflection</w:t>
      </w:r>
    </w:p>
    <w:p>
      <w:pPr>
        <w:pStyle w:val="ListBullet"/>
      </w:pPr>
      <w:r>
        <w:t>How well did the rule-based method perform? Moderately — ~67–69% accuracy. Both tools handle clearly positive and negative tweets well (positive recall ≈ 1.0, negative recall 0.7–0.8) but fail badly on NEUTRAL tweets (TextBlob neutral recall 0.21, VADER 0.34): they over-predict positive, pushing many neutral tweets into the positive class.</w:t>
      </w:r>
    </w:p>
    <w:p>
      <w:pPr>
        <w:pStyle w:val="ListBullet"/>
      </w:pPr>
      <w:r>
        <w:t>Examples of wrong predictions: 'Still exploring Apple. Too early to judge.' (neutral) → predicted positive; 'Amazon update broke everything. Please fix it!' (negative) → predicted neutral (idiomatic negativity missed); 'Not good, not bad. Apple is just average.' (neutral) → mis-scored due to the word 'good/bad' cancelling imperfectly.</w:t>
      </w:r>
    </w:p>
    <w:p>
      <w:pPr>
        <w:pStyle w:val="ListBullet"/>
      </w:pPr>
      <w:r>
        <w:t>Common issues: sarcasm and irony, negation, mixed sentiment in one tweet, and domain/idiomatic phrasing ('broke everything') that lexicons don't weight correctly. Neutral is the hardest class because rule-based polarity rarely lands exactly at zero.</w:t>
      </w:r>
    </w:p>
    <w:p>
      <w:pPr>
        <w:pStyle w:val="ListBullet"/>
      </w:pPr>
      <w:r>
        <w:t>When prefer rule-based over ML? When there is no labelled training data, when you need a fast, transparent, explainable baseline, for short social text (VADER is tuned for it), or limited compute. ML/transformer models win when labelled data exists and higher accuracy / context handling (sarcasm, negation) is required.</w:t>
      </w:r>
    </w:p>
    <w:p>
      <w:pPr>
        <w:pStyle w:val="Heading3"/>
      </w:pPr>
      <w:r>
        <w:t>Discussion questions</w:t>
      </w:r>
    </w:p>
    <w:p>
      <w:r>
        <w:t>How do TextBlob/VADER work? They are lexicon-and-rule based: each word has a pre-assigned sentiment score in a dictionary; the tool aggregates these word scores (VADER also applies heuristics for negation, punctuation, capitalisation and intensifiers) into an overall polarity/compound score, which is then thresholded into positive/negative/neutral. No training data is needed.</w:t>
      </w:r>
    </w:p>
    <w:p>
      <w:r>
        <w:t>Limitations of rule-based sentiment analysis: cannot truly understand context, sarcasm, irony or complex negation; struggles with mixed sentiment and domain-specific/idiomatic language; depends on lexicon coverage (out-of-vocabulary slang scores 0); and tends to mislabel neutral text — all visible in the ~30% error rate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