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11C" w:rsidRDefault="008006CB">
      <w:r>
        <w:rPr>
          <w:noProof/>
          <w:lang w:eastAsia="pt-BR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6" type="#_x0000_t67" style="position:absolute;margin-left:175.2pt;margin-top:145.15pt;width:9.75pt;height:13.5pt;z-index:251666432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>
        <w:rPr>
          <w:noProof/>
          <w:lang w:eastAsia="pt-BR"/>
        </w:rPr>
        <w:pict>
          <v:shape id="_x0000_s1035" type="#_x0000_t67" style="position:absolute;margin-left:175.2pt;margin-top:101.65pt;width:9.75pt;height:13.5pt;z-index:251665408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>
        <w:rPr>
          <w:noProof/>
          <w:lang w:eastAsia="pt-BR"/>
        </w:rPr>
        <w:pict>
          <v:shape id="_x0000_s1034" type="#_x0000_t67" style="position:absolute;margin-left:175.2pt;margin-top:60.4pt;width:9.75pt;height:13.5pt;z-index:251664384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>
        <w:rPr>
          <w:noProof/>
          <w:lang w:eastAsia="pt-BR"/>
        </w:rPr>
        <w:pict>
          <v:shape id="_x0000_s1033" type="#_x0000_t67" style="position:absolute;margin-left:175.2pt;margin-top:18.4pt;width:9.75pt;height:13.5pt;z-index:251663360" fillcolor="#fabf8f [1945]" strokecolor="#f79646 [3209]" strokeweight="1pt">
            <v:fill color2="#f79646 [3209]" focus="50%" type="gradient"/>
            <v:shadow on="t" type="perspective" color="#974706 [1609]" offset="1pt" offset2="-3pt"/>
          </v:shape>
        </w:pict>
      </w:r>
      <w:r>
        <w:rPr>
          <w:noProof/>
          <w:lang w:eastAsia="pt-BR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0" type="#_x0000_t109" style="position:absolute;margin-left:73.95pt;margin-top:158.65pt;width:228.75pt;height:37.5pt;z-index:251662336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:rsidR="00F60CEE" w:rsidRDefault="00F60CEE" w:rsidP="00F60CEE">
                  <w:pPr>
                    <w:jc w:val="center"/>
                  </w:pPr>
                  <w:r>
                    <w:t>Ajustar pesos do neurônio vencedor e de neurônio</w:t>
                  </w:r>
                  <w:r w:rsidR="00DF2C7B">
                    <w:t>s</w:t>
                  </w:r>
                  <w:r>
                    <w:t xml:space="preserve"> em seu raio de vizinhança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29" type="#_x0000_t109" style="position:absolute;margin-left:73.95pt;margin-top:115.15pt;width:228.75pt;height:23.25pt;z-index:251661312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9">
              <w:txbxContent>
                <w:p w:rsidR="00F60CEE" w:rsidRDefault="00F60CEE" w:rsidP="00F60CEE">
                  <w:pPr>
                    <w:jc w:val="center"/>
                  </w:pPr>
                  <w:r>
                    <w:t>Calcular neurônio vencedor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28" type="#_x0000_t109" style="position:absolute;margin-left:73.95pt;margin-top:73.9pt;width:228.75pt;height:21.75pt;z-index:251660288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8">
              <w:txbxContent>
                <w:p w:rsidR="00F60CEE" w:rsidRDefault="00F60CEE" w:rsidP="00F60CEE">
                  <w:pPr>
                    <w:jc w:val="center"/>
                  </w:pPr>
                  <w:r>
                    <w:t>Apresentar padrões de entrada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27" type="#_x0000_t109" style="position:absolute;margin-left:73.95pt;margin-top:31.9pt;width:228.75pt;height:21.75pt;z-index:251659264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:rsidR="00F60CEE" w:rsidRDefault="00F60CEE" w:rsidP="00F60CEE">
                  <w:pPr>
                    <w:jc w:val="center"/>
                  </w:pPr>
                  <w:r>
                    <w:t>Inicializar pesos dos neurônios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026" type="#_x0000_t109" style="position:absolute;margin-left:73.95pt;margin-top:-9.35pt;width:228.75pt;height:22.5pt;z-index:25165824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6">
              <w:txbxContent>
                <w:p w:rsidR="00F60CEE" w:rsidRDefault="00F60CEE" w:rsidP="00F60CEE">
                  <w:pPr>
                    <w:jc w:val="center"/>
                  </w:pPr>
                  <w:r>
                    <w:t>Inicializar mapa</w:t>
                  </w:r>
                </w:p>
              </w:txbxContent>
            </v:textbox>
          </v:shape>
        </w:pict>
      </w:r>
    </w:p>
    <w:sectPr w:rsidR="00C0111C" w:rsidSect="00C011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0CEE"/>
    <w:rsid w:val="008006CB"/>
    <w:rsid w:val="00AC7307"/>
    <w:rsid w:val="00B064FC"/>
    <w:rsid w:val="00C0111C"/>
    <w:rsid w:val="00CE48A2"/>
    <w:rsid w:val="00DF2C7B"/>
    <w:rsid w:val="00F60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1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Berg</dc:creator>
  <cp:keywords/>
  <dc:description/>
  <cp:lastModifiedBy>Anderson Berg</cp:lastModifiedBy>
  <cp:revision>2</cp:revision>
  <dcterms:created xsi:type="dcterms:W3CDTF">2009-11-21T23:22:00Z</dcterms:created>
  <dcterms:modified xsi:type="dcterms:W3CDTF">2009-11-22T14:06:00Z</dcterms:modified>
</cp:coreProperties>
</file>