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O relatório que não ficará pronto</w:t>
      </w:r>
    </w:p>
    <w:p>
      <w:pPr>
        <w:jc w:val="center"/>
      </w:pPr>
      <w:r>
        <w:rPr>
          <w:i/>
          <w:color w:val="506B75"/>
        </w:rPr>
        <w:t>Estudo de caso em duas partes | Inteligência emocional aplicada à gestão</w:t>
      </w:r>
    </w:p>
    <w:p>
      <w:pPr>
        <w:jc w:val="center"/>
      </w:pPr>
      <w:r>
        <w:rPr>
          <w:b/>
          <w:sz w:val="20"/>
        </w:rPr>
        <w:t>Caso fictício para uso formativo. Leia apenas a parte indicada pelo facilitador.</w:t>
      </w:r>
    </w:p>
    <w:p/>
    <w:p>
      <w:pPr>
        <w:pStyle w:val="Heading1"/>
      </w:pPr>
      <w:r>
        <w:t>Orientação para o trabalho em grupo</w:t>
      </w:r>
    </w:p>
    <w:p>
      <w:pPr>
        <w:spacing w:after="140" w:line="269" w:lineRule="auto"/>
        <w:jc w:val="both"/>
      </w:pPr>
      <w:r>
        <w:t>O caso foi construído com informações deliberadamente incompletas. O objetivo não é decidir rapidamente quem está certo, diagnosticar pessoas ou oferecer uma solução imediata. A tarefa é observar como fatos, interpretações, estados corporais, emoções, impulsos e escolhas comunicacionais se relacionam em uma situação de gestão.</w:t>
      </w:r>
    </w:p>
    <w:p>
      <w:pPr>
        <w:spacing w:after="140" w:line="269" w:lineRule="auto"/>
        <w:jc w:val="both"/>
      </w:pPr>
      <w:r>
        <w:t>Na primeira etapa, trabalhe somente com a Parte 1. Após a discussão e a orientação do facilitador, avance para a Parte 2. Ao formular hipóteses sobre a experiência interna dos personagens, use expressões como “pode ter sentido”, “é possível que tenha interpretado” ou “seria necessário verificar”.</w:t>
      </w:r>
    </w:p>
    <w:p>
      <w:pPr>
        <w:pStyle w:val="Heading1"/>
      </w:pPr>
      <w:r>
        <w:t>Parte 1 | A conversa no final do expediente</w:t>
      </w:r>
    </w:p>
    <w:p>
      <w:pPr>
        <w:pStyle w:val="Heading2"/>
      </w:pPr>
      <w:r>
        <w:t>Cena 1: prazo, pressão e uma resposta pública</w:t>
      </w:r>
    </w:p>
    <w:p>
      <w:pPr>
        <w:spacing w:after="140" w:line="269" w:lineRule="auto"/>
        <w:jc w:val="both"/>
      </w:pPr>
      <w:r>
        <w:t>É quinta-feira, 16h40. Em uma unidade do Tribunal, a equipe está encerrando uma semana marcada por demandas simultâneas e mudanças de prioridade. Na manhã seguinte, a chefia deverá encaminhar à direção um relatório consolidado, que servirá de apoio para uma reunião já agendada. O gestor considera a entrega importante e acompanha o prazo com preocupação.</w:t>
      </w:r>
    </w:p>
    <w:p>
      <w:pPr>
        <w:spacing w:after="140" w:line="269" w:lineRule="auto"/>
        <w:jc w:val="both"/>
      </w:pPr>
      <w:r>
        <w:t>O servidor responsável pela consolidação trabalhou no relatório ao longo dos últimos dias. Naquela tarde, porém, comunica ao gestor que o documento não ficará pronto no prazo previsto. Explica que recebeu outra demanda urgente da direção e precisou interromper a tarefa. Acrescenta que parte dos dados esperados de outras áreas chegou incompleta e que ainda seria necessário conferir algumas informações antes de fechar a versão final.</w:t>
      </w:r>
    </w:p>
    <w:p>
      <w:pPr>
        <w:spacing w:after="140" w:line="269" w:lineRule="auto"/>
        <w:jc w:val="both"/>
      </w:pPr>
      <w:r>
        <w:t>Enquanto escuta, o gestor percebe o horário e olha para o relógio. Sua respiração fica mais curta, o peito parece mais apertado e a musculatura dos ombros e da mandíbula se contrai. A energia corporal aumenta. Sua atenção se estreita em torno de três elementos: o horário, a frase “não ficará pronto” e a possibilidade de comparecer à reunião da manhã seguinte sem o documento. Quase ao mesmo tempo, surgem pensamentos como: “De novo vou ter de responder por uma entrega que não aconteceu”, “a direção vai entender que eu não controlo a equipe” e “se eu aceitar essa explicação, o prazo deixará de ser levado a sério”.</w:t>
      </w:r>
    </w:p>
    <w:p>
      <w:pPr>
        <w:spacing w:after="140" w:line="269" w:lineRule="auto"/>
        <w:jc w:val="both"/>
      </w:pPr>
      <w:r>
        <w:t>A experiência parece desagradável e de alta ativação. Preocupação, irritação e medo de exposição podem estar misturados. O impulso mais imediato é interromper a explicação, reafirmar autoridade e pressionar por uma solução. Ainda não sabemos se o gestor reconhece esses sinais como informação sobre seu próprio estado, nem se distingue o risco objetivo da interpretação que está construindo naquele instante.</w:t>
      </w:r>
    </w:p>
    <w:p>
      <w:pPr>
        <w:spacing w:after="140" w:line="269" w:lineRule="auto"/>
        <w:jc w:val="both"/>
      </w:pPr>
      <w:r>
        <w:t>Antes que o servidor conclua a explicação, o gestor o interrompe diante de dois colegas que permanecem na sala e afirma, em tom firme: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F4E5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FALA DO GESTOR</w:t>
            </w:r>
          </w:p>
        </w:tc>
      </w:tr>
      <w:tr>
        <w:tc>
          <w:tcPr>
            <w:tcW w:type="dxa" w:w="9972"/>
            <w:shd w:fill="EAF2F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i/>
                <w:sz w:val="21"/>
              </w:rPr>
              <w:t>“Isso é falta de comprometimento. Toda vez é a mesma coisa. Não quero justificativas. Dê um jeito e entregue amanhã cedo.”</w:t>
            </w:r>
          </w:p>
        </w:tc>
      </w:tr>
    </w:tbl>
    <w:p/>
    <w:p>
      <w:pPr>
        <w:spacing w:after="140" w:line="269" w:lineRule="auto"/>
        <w:jc w:val="both"/>
      </w:pPr>
      <w:r>
        <w:t>A sala fica em silêncio. O servidor não responde imediatamente. Os dois colegas desviam o olhar. Nesse ponto, a cena é interrompida para análise.</w:t>
      </w:r>
    </w:p>
    <w:p>
      <w:pPr>
        <w:pStyle w:val="Heading2"/>
      </w:pPr>
      <w:r>
        <w:t>Mapa do Caso | Primeira análise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5783"/>
      </w:tblGrid>
      <w:tr>
        <w:trPr>
          <w:tblHeader w:val="true"/>
        </w:trPr>
        <w:tc>
          <w:tcPr>
            <w:tcW w:type="dxa" w:w="4986"/>
            <w:shd w:fill="1F4E5F"/>
            <w:vAlign w:val="center"/>
          </w:tcPr>
          <w:p>
            <w:r>
              <w:rPr>
                <w:b/>
                <w:color w:val="FFFFFF"/>
              </w:rPr>
              <w:t>Pergunta de análise</w:t>
            </w:r>
          </w:p>
        </w:tc>
        <w:tc>
          <w:tcPr>
            <w:tcW w:type="dxa" w:w="4986"/>
            <w:shd w:fill="1F4E5F"/>
            <w:vAlign w:val="center"/>
          </w:tcPr>
          <w:p>
            <w:r>
              <w:rPr>
                <w:b/>
                <w:color w:val="FFFFFF"/>
              </w:rPr>
              <w:t>Registro do grupo</w:t>
            </w:r>
          </w:p>
        </w:tc>
      </w:tr>
      <w:tr>
        <w:tc>
          <w:tcPr>
            <w:tcW w:type="dxa" w:w="3515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t>1. O que pode ser observado? Quais fatos uma câmera, uma gravação ou um registro documental poderia confirmar?</w:t>
            </w:r>
          </w:p>
        </w:tc>
        <w:tc>
          <w:tcPr>
            <w:tcW w:type="dxa" w:w="5783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br/>
              <w:br/>
              <w:br/>
            </w:r>
          </w:p>
        </w:tc>
      </w:tr>
      <w:tr>
        <w:tc>
          <w:tcPr>
            <w:tcW w:type="dxa" w:w="3515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t>2. O que foi interpretado? Quais avaliações, generalizações, suposições ou conclusões aparecem como se fossem fatos?</w:t>
            </w:r>
          </w:p>
        </w:tc>
        <w:tc>
          <w:tcPr>
            <w:tcW w:type="dxa" w:w="5783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br/>
              <w:br/>
              <w:br/>
            </w:r>
          </w:p>
        </w:tc>
      </w:tr>
      <w:tr>
        <w:tc>
          <w:tcPr>
            <w:tcW w:type="dxa" w:w="3515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t>3. Quais necessidades parecem estar mobilizadas no gestor e no servidor? Que emoções podem emergir quando essas necessidades são atendidas, frustradas ou percebidas como ameaçadas?</w:t>
            </w:r>
          </w:p>
        </w:tc>
        <w:tc>
          <w:tcPr>
            <w:tcW w:type="dxa" w:w="5783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t>Parte 2 | O impacto da fala</w:t>
      </w:r>
    </w:p>
    <w:p>
      <w:pPr>
        <w:pStyle w:val="Heading2"/>
      </w:pPr>
      <w:r>
        <w:t>Cena 2: da exposição pública ao transbordamento emocional</w:t>
      </w:r>
    </w:p>
    <w:p>
      <w:pPr>
        <w:spacing w:after="140" w:line="269" w:lineRule="auto"/>
        <w:jc w:val="both"/>
      </w:pPr>
      <w:r>
        <w:t>Nos segundos seguintes à fala do gestor, o servidor sente o rosto aquecer e o coração acelerar. A garganta parece fechar, a respiração fica presa por alguns instantes e surge tensão no peito e no abdômen. Ele aperta os lábios e mantém as mãos imóveis sobre a mesa para não responder no impulso. A experiência é intensamente desagradável e sua ativação sobe rapidamente.</w:t>
      </w:r>
    </w:p>
    <w:p>
      <w:pPr>
        <w:spacing w:after="140" w:line="269" w:lineRule="auto"/>
        <w:jc w:val="both"/>
      </w:pPr>
      <w:r>
        <w:t>Ao notar que os colegas presenciaram a repreensão, sua atenção se desloca do problema técnico do relatório para a própria exposição. Ele percebe o silêncio da sala, os olhares desviados e o tom usado pelo gestor. Surgem pensamentos em sequência: “Ele nem me deixou terminar”, “está dizendo diante de todos que eu não sou comprometido”, “não importa o que eu faça” e “talvez meus colegas pensem que sou incompetente”. Vergonha, raiva, frustração, injustiça percebida e medo de desvalorização podem coexistir. O impulso oscila entre se defender, atacar, abandonar a conversa e permanecer calado para evitar uma escalada.</w:t>
      </w:r>
    </w:p>
    <w:p>
      <w:pPr>
        <w:spacing w:after="140" w:line="269" w:lineRule="auto"/>
        <w:jc w:val="both"/>
      </w:pPr>
      <w:r>
        <w:t>O servidor responde apenas: “Entendi”. Abre novamente o arquivo, mas encontra dificuldade para organizar as ideias. Lê o mesmo parágrafo mais de uma vez, comete pequenos erros e alterna entre o documento e a lembrança da cena. Parte de sua energia mental passa a ser consumida por uma conversa imaginária na qual explica tudo o que não conseguiu dizer. A ativação corporal diminui um pouco, mas não desaparece. Cada vez que recorda a expressão “falta de comprometimento”, sente novo calor no rosto e volta a contrair a mandíbula.</w:t>
      </w:r>
    </w:p>
    <w:p>
      <w:pPr>
        <w:spacing w:after="140" w:line="269" w:lineRule="auto"/>
        <w:jc w:val="both"/>
      </w:pPr>
      <w:r>
        <w:t>Ao sair do trabalho, ele leva consigo a preocupação com o prazo e a sensação de ter sido publicamente desconsiderado. No caminho para casa, repassa o episódio, imagina o que os colegas podem comentar e ensaia respostas que gostaria de ter dado. A ruminação mantém a experiência ativa mesmo sem a presença do gestor. Em alguns momentos predomina a raiva, com energia para confronto; em outros, a ativação cai e aparecem desânimo, cansaço e vontade de se afastar.</w:t>
      </w:r>
    </w:p>
    <w:p>
      <w:pPr>
        <w:spacing w:after="140" w:line="269" w:lineRule="auto"/>
        <w:jc w:val="both"/>
      </w:pPr>
      <w:r>
        <w:t>Em casa, sua esposa pergunta como foi o dia. Ele responde “normal” e evita contar o que aconteceu. Pouco depois, ela pergunta: “Você conseguiu resolver o problema do carro?”. A pergunta é cotidiana, mas ele a recebe quando ainda está emocionalmente mobilizado. Interpreta-a como mais uma cobrança, eleva o tom de voz e responde: “Eu não quero ser cobrado”. A esposa se surpreende e se cala. A situação mudou, mas parte da ativação, da atenção defensiva e dos significados construídos no trabalho alcançou outra relação.</w:t>
      </w:r>
    </w:p>
    <w:p>
      <w:pPr>
        <w:spacing w:after="140" w:line="269" w:lineRule="auto"/>
        <w:jc w:val="both"/>
      </w:pPr>
      <w:r>
        <w:t>Na manhã seguinte, o relatório e as responsabilidades funcionais continuam precisando ser tratados. Agora, porém, existe também um segundo problema: a qualidade da relação entre gestor e servidor, a segurança para comunicar riscos futuros e os efeitos do episódio sobre concentração, confiança e cooperação na equipe.</w:t>
      </w:r>
    </w:p>
    <w:p>
      <w:pPr>
        <w:pStyle w:val="Heading2"/>
      </w:pPr>
      <w:r>
        <w:t>Mapa do Caso | Segunda análise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5783"/>
      </w:tblGrid>
      <w:tr>
        <w:trPr>
          <w:tblHeader w:val="true"/>
        </w:trPr>
        <w:tc>
          <w:tcPr>
            <w:tcW w:type="dxa" w:w="4986"/>
            <w:shd w:fill="1F4E5F"/>
            <w:vAlign w:val="center"/>
          </w:tcPr>
          <w:p>
            <w:r>
              <w:rPr>
                <w:b/>
                <w:color w:val="FFFFFF"/>
              </w:rPr>
              <w:t>Pergunta de análise</w:t>
            </w:r>
          </w:p>
        </w:tc>
        <w:tc>
          <w:tcPr>
            <w:tcW w:type="dxa" w:w="4986"/>
            <w:shd w:fill="1F4E5F"/>
            <w:vAlign w:val="center"/>
          </w:tcPr>
          <w:p>
            <w:r>
              <w:rPr>
                <w:b/>
                <w:color w:val="FFFFFF"/>
              </w:rPr>
              <w:t>Registro do grupo</w:t>
            </w:r>
          </w:p>
        </w:tc>
      </w:tr>
      <w:tr>
        <w:tc>
          <w:tcPr>
            <w:tcW w:type="dxa" w:w="3515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t>1. Que mudanças corporais o servidor percebeu? Como a interocepção poderia ajudá-lo a reconhecer o próprio estado antes de agir?</w:t>
            </w:r>
          </w:p>
        </w:tc>
        <w:tc>
          <w:tcPr>
            <w:tcW w:type="dxa" w:w="5783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br/>
              <w:br/>
              <w:br/>
            </w:r>
          </w:p>
        </w:tc>
      </w:tr>
      <w:tr>
        <w:tc>
          <w:tcPr>
            <w:tcW w:type="dxa" w:w="3515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t>2. Como valência e ativação variaram entre a fala do gestor, o trabalho após a cena, o trajeto e a chegada em casa?</w:t>
            </w:r>
          </w:p>
        </w:tc>
        <w:tc>
          <w:tcPr>
            <w:tcW w:type="dxa" w:w="5783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br/>
              <w:br/>
              <w:br/>
            </w:r>
          </w:p>
        </w:tc>
      </w:tr>
      <w:tr>
        <w:tc>
          <w:tcPr>
            <w:tcW w:type="dxa" w:w="3515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t>3. Quais emoções, pensamentos e impulsos podem ser distinguidos? Quais deles são fatos e quais são interpretações ou hipóteses?</w:t>
            </w:r>
          </w:p>
        </w:tc>
        <w:tc>
          <w:tcPr>
            <w:tcW w:type="dxa" w:w="5783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br/>
              <w:br/>
              <w:br/>
            </w:r>
          </w:p>
        </w:tc>
      </w:tr>
      <w:tr>
        <w:tc>
          <w:tcPr>
            <w:tcW w:type="dxa" w:w="3515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t>4. Como a atenção do servidor foi afetada? Que consequências apareceram na concentração, na comunicação e nas relações?</w:t>
            </w:r>
          </w:p>
        </w:tc>
        <w:tc>
          <w:tcPr>
            <w:tcW w:type="dxa" w:w="5783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br/>
              <w:br/>
              <w:br/>
            </w:r>
          </w:p>
        </w:tc>
      </w:tr>
      <w:tr>
        <w:tc>
          <w:tcPr>
            <w:tcW w:type="dxa" w:w="3515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t>5. Onde aparecem ruminação, transferência de ativação e transbordamento emocional?</w:t>
            </w:r>
          </w:p>
        </w:tc>
        <w:tc>
          <w:tcPr>
            <w:tcW w:type="dxa" w:w="5783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br/>
              <w:br/>
              <w:br/>
            </w:r>
          </w:p>
        </w:tc>
      </w:tr>
      <w:tr>
        <w:tc>
          <w:tcPr>
            <w:tcW w:type="dxa" w:w="3515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t>6. Que respostas poderiam preservar, ao mesmo tempo, a responsabilidade pela entrega, a dignidade das pessoas e a qualidade da relação de trabalho?</w:t>
            </w:r>
          </w:p>
        </w:tc>
        <w:tc>
          <w:tcPr>
            <w:tcW w:type="dxa" w:w="5783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br/>
              <w:br/>
              <w:br/>
            </w:r>
          </w:p>
        </w:tc>
      </w:tr>
      <w:tr>
        <w:tc>
          <w:tcPr>
            <w:tcW w:type="dxa" w:w="3515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t>7. Que conversa posterior seria necessária entre gestor e servidor? Quais fatos deveriam ser verificados antes de atribuir responsabilidades?</w:t>
            </w:r>
          </w:p>
        </w:tc>
        <w:tc>
          <w:tcPr>
            <w:tcW w:type="dxa" w:w="5783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br/>
              <w:br/>
              <w:br/>
            </w:r>
          </w:p>
        </w:tc>
      </w:tr>
    </w:tbl>
    <w:p/>
    <w:p>
      <w:pPr>
        <w:pStyle w:val="Heading1"/>
      </w:pPr>
      <w:r>
        <w:t>Síntese conceitual para consulta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F4E5F"/>
          </w:tcPr>
          <w:p>
            <w:r>
              <w:rPr>
                <w:b/>
                <w:color w:val="FFFFFF"/>
              </w:rPr>
              <w:t>Conceito</w:t>
            </w:r>
          </w:p>
        </w:tc>
        <w:tc>
          <w:tcPr>
            <w:tcW w:type="dxa" w:w="4986"/>
            <w:shd w:fill="1F4E5F"/>
          </w:tcPr>
          <w:p>
            <w:r>
              <w:rPr>
                <w:b/>
                <w:color w:val="FFFFFF"/>
              </w:rPr>
              <w:t>Aplicação no caso</w:t>
            </w:r>
          </w:p>
        </w:tc>
      </w:tr>
      <w:tr>
        <w:tc>
          <w:tcPr>
            <w:tcW w:type="dxa" w:w="4986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rPr>
                <w:b/>
              </w:rPr>
              <w:t>Interocepção</w:t>
            </w:r>
          </w:p>
        </w:tc>
        <w:tc>
          <w:tcPr>
            <w:tcW w:type="dxa" w:w="4986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t>Percepção dos sinais internos do organismo, como batimentos, respiração, temperatura, tensão, desconforto visceral e alterações de energia. Esses sinais informam sobre o estado corporal, mas não determinam uma emoção ou conduta isoladamente.</w:t>
            </w:r>
          </w:p>
        </w:tc>
      </w:tr>
      <w:tr>
        <w:tc>
          <w:tcPr>
            <w:tcW w:type="dxa" w:w="4986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rPr>
                <w:b/>
              </w:rPr>
              <w:t>Valência</w:t>
            </w:r>
          </w:p>
        </w:tc>
        <w:tc>
          <w:tcPr>
            <w:tcW w:type="dxa" w:w="4986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t>Qualidade agradável, desagradável ou neutra da experiência. Situações semelhantes podem ter valências diferentes conforme contexto, história e interpretação.</w:t>
            </w:r>
          </w:p>
        </w:tc>
      </w:tr>
      <w:tr>
        <w:tc>
          <w:tcPr>
            <w:tcW w:type="dxa" w:w="4986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rPr>
                <w:b/>
              </w:rPr>
              <w:t>Ativação</w:t>
            </w:r>
          </w:p>
        </w:tc>
        <w:tc>
          <w:tcPr>
            <w:tcW w:type="dxa" w:w="4986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t>Nível de mobilização do organismo, de baixo a alto. Alta ativação pode estreitar a atenção e favorecer respostas rápidas; baixa ativação pode aparecer como desânimo, retraimento ou redução de energia.</w:t>
            </w:r>
          </w:p>
        </w:tc>
      </w:tr>
      <w:tr>
        <w:tc>
          <w:tcPr>
            <w:tcW w:type="dxa" w:w="4986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rPr>
                <w:b/>
              </w:rPr>
              <w:t>Inteligência emocional na gestão</w:t>
            </w:r>
          </w:p>
        </w:tc>
        <w:tc>
          <w:tcPr>
            <w:tcW w:type="dxa" w:w="4986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</w:tcPr>
          <w:p>
            <w:r>
              <w:t>Capacidade de perceber, utilizar, compreender e administrar informações emocionais, articulando autoconsciência, autorregulação, empatia e habilidades relacionais sem abandonar critérios, limites e responsabilidade profissional.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A7D84"/>
        <w:sz w:val="16"/>
      </w:rPr>
      <w:t>Comunicação Assertiva | Formação de gestores | TJRS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B4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B45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B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relatório que não ficará pronto</dc:title>
  <dc:subject>Estudo de caso em duas partes sobre inteligência emocional aplicada à gestão</dc:subject>
  <dc:creator>Anderson Porto e Fernando Alves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