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3.png" ContentType="image/png"/>
  <Override PartName="/word/media/rId15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Guia Prático: Como Interpretar a Saída de</w:t>
      </w:r>
      <w:r>
        <w:t xml:space="preserve"> </w:t>
      </w:r>
      <w:r>
        <w:rPr>
          <w:rStyle w:val="VerbatimChar"/>
        </w:rPr>
        <w:t xml:space="preserve">summary(coxph())</w:t>
      </w:r>
      <w:r>
        <w:t xml:space="preserve"> </w:t>
      </w:r>
      <w:r>
        <w:t xml:space="preserve">no R</w:t>
      </w:r>
    </w:p>
    <w:p>
      <w:pPr>
        <w:pStyle w:val="Subtitle"/>
      </w:pPr>
      <w:r>
        <w:t xml:space="preserve">Um roteiro de leitura do Modelo de Riscos Proporcionais de Cox para pesquisadores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introdução-o-que-é-o-modelo-de-cox"/>
    <w:p>
      <w:pPr>
        <w:pStyle w:val="Heading2"/>
      </w:pPr>
      <w:r>
        <w:t xml:space="preserve">1 Introdução: o que é o modelo de Cox?</w:t>
      </w:r>
    </w:p>
    <w:p>
      <w:pPr>
        <w:pStyle w:val="FirstParagraph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coxph()</w:t>
      </w:r>
      <w:r>
        <w:t xml:space="preserve">, do pacote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do R, ajusta o</w:t>
      </w:r>
      <w:r>
        <w:t xml:space="preserve"> </w:t>
      </w:r>
      <w:r>
        <w:rPr>
          <w:b/>
          <w:bCs/>
        </w:rPr>
        <w:t xml:space="preserve">Modelo de Riscos Proporcionais de Cox</w:t>
      </w:r>
      <w:r>
        <w:t xml:space="preserve"> </w:t>
      </w:r>
      <w:r>
        <w:t xml:space="preserve">— o modelo de regressão mais utilizado em análise de sobrevivência. Ele modela o efeito de covariáveis sobre a função de risco (</w:t>
      </w:r>
      <w:r>
        <w:rPr>
          <w:i/>
          <w:iCs/>
        </w:rPr>
        <w:t xml:space="preserve">hazard</w:t>
      </w:r>
      <w:r>
        <w:t xml:space="preserve">) de um indivíduo: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∣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sSub>
            <m:e>
              <m:r>
                <m:t>β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Três ideias sustentam esse modelo e ajudam a entender por que ele é chamado de</w:t>
      </w:r>
      <w:r>
        <w:t xml:space="preserve"> </w:t>
      </w:r>
      <w:r>
        <w:rPr>
          <w:b/>
          <w:bCs/>
        </w:rPr>
        <w:t xml:space="preserve">semiparamétrico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é o</w:t>
      </w:r>
      <w:r>
        <w:t xml:space="preserve"> </w:t>
      </w:r>
      <w:r>
        <w:rPr>
          <w:b/>
          <w:bCs/>
        </w:rPr>
        <w:t xml:space="preserve">risco basal</w:t>
      </w:r>
      <w:r>
        <w:t xml:space="preserve"> </w:t>
      </w:r>
      <w:r>
        <w:t xml:space="preserve">— não se assume nenhuma distribuição estatística para ele ao longo do tempo (parte não paramétrica).</w:t>
      </w:r>
    </w:p>
    <w:p>
      <w:pPr>
        <w:pStyle w:val="Compact"/>
        <w:numPr>
          <w:ilvl w:val="0"/>
          <w:numId w:val="1001"/>
        </w:numPr>
      </w:pPr>
      <w:r>
        <w:t xml:space="preserve">As covariáveis entram de forma</w:t>
      </w:r>
      <w:r>
        <w:t xml:space="preserve"> </w:t>
      </w:r>
      <w:r>
        <w:rPr>
          <w:b/>
          <w:bCs/>
        </w:rPr>
        <w:t xml:space="preserve">multiplicativa</w:t>
      </w:r>
      <w:r>
        <w:t xml:space="preserve"> </w:t>
      </w:r>
      <w:r>
        <w:t xml:space="preserve">sobre o risco basal — essa é a parte paramétrica do modelo.</w:t>
      </w:r>
    </w:p>
    <w:p>
      <w:pPr>
        <w:pStyle w:val="Compact"/>
        <w:numPr>
          <w:ilvl w:val="0"/>
          <w:numId w:val="1001"/>
        </w:numPr>
      </w:pPr>
      <w:r>
        <w:t xml:space="preserve">Pressuposto central: a razão de riscos entre dois indivíduos</w:t>
      </w:r>
      <w:r>
        <w:t xml:space="preserve"> </w:t>
      </w:r>
      <w:r>
        <w:rPr>
          <w:b/>
          <w:bCs/>
        </w:rPr>
        <w:t xml:space="preserve">não varia ao longo do tempo</w:t>
      </w:r>
      <w:r>
        <w:t xml:space="preserve"> </w:t>
      </w:r>
      <w:r>
        <w:t xml:space="preserve">— por isso o nome</w:t>
      </w:r>
      <w:r>
        <w:t xml:space="preserve"> </w:t>
      </w:r>
      <w:r>
        <w:t xml:space="preserve">“riscos proporcionais”</w:t>
      </w:r>
      <w:r>
        <w:t xml:space="preserve">. Este pressuposto deve sempre ser verificado (gráficos de Kaplan-Meier estratificados, resíduos de Schoenfeld — ver capítulo sobre análise de resíduos).</w:t>
      </w:r>
    </w:p>
    <w:p>
      <w:pPr>
        <w:pStyle w:val="FirstParagraph"/>
      </w:pPr>
      <w:r>
        <w:t xml:space="preserve">Os coeficientes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são estimados por</w:t>
      </w:r>
      <w:r>
        <w:t xml:space="preserve"> </w:t>
      </w:r>
      <w:r>
        <w:rPr>
          <w:b/>
          <w:bCs/>
        </w:rPr>
        <w:t xml:space="preserve">verossimilhança parcial</w:t>
      </w:r>
      <w:r>
        <w:t xml:space="preserve">, um método que, a cada tempo de evento, usa apenas a informação dos indivíduos ainda sob risco naquele momento — de forma semelhante à lógica do estimador de Kaplan-Meier.</w:t>
      </w:r>
    </w:p>
    <w:bookmarkStart w:id="12" w:name="X2f33e9decec365521d60a876015f7701e82f0f9"/>
    <w:p>
      <w:pPr>
        <w:pStyle w:val="Heading3"/>
      </w:pPr>
      <w:r>
        <w:t xml:space="preserve">1.1 Como o R organiza o tempo de sobrevivência</w:t>
      </w:r>
    </w:p>
    <w:p>
      <w:pPr>
        <w:pStyle w:val="FirstParagraph"/>
      </w:pPr>
      <w:r>
        <w:t xml:space="preserve">Antes de ajustar o modelo, o R precisa de um objeto que combine, em uma única variável, o tempo de acompanhamento e o indicador de evento. Isso é feito com a função</w:t>
      </w:r>
      <w:r>
        <w:t xml:space="preserve"> </w:t>
      </w:r>
      <w:r>
        <w:rPr>
          <w:rStyle w:val="VerbatimChar"/>
        </w:rPr>
        <w:t xml:space="preserve">Surv()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br/>
      </w:r>
      <w:r>
        <w:rPr>
          <w:rStyle w:val="NormalTok"/>
        </w:rPr>
        <w:t xml:space="preserve">tmo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"tmoclas.dat"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sexo)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os, tmo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C:\Users\ander\AppData\Local\Programs\Quarto\share\formats\docx\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Atenção a um erro comum de leitura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primeira variável dentro 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Surv()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é o TEMPO</w:t>
            </w:r>
            <w:r>
              <w:t xml:space="preserve">, não o evento. No exemplo acima,</w:t>
            </w:r>
            <w:r>
              <w:t xml:space="preserve"> </w:t>
            </w:r>
            <w:r>
              <w:rPr>
                <w:rStyle w:val="VerbatimChar"/>
              </w:rPr>
              <w:t xml:space="preserve">os</w:t>
            </w:r>
            <w:r>
              <w:t xml:space="preserve"> </w:t>
            </w:r>
            <w:r>
              <w:t xml:space="preserve">é o tempo (em dias) até o óbito ou até a censura, e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é o indicador de evento (1 = óbito, 0 = censura). O evento em si nunca é a variável de tempo — é sempre a variável binária de status.</w:t>
            </w:r>
          </w:p>
          <w:p/>
        </w:tc>
      </w:tr>
    </w:tbl>
    <w:bookmarkEnd w:id="12"/>
    <w:bookmarkEnd w:id="13"/>
    <w:bookmarkStart w:id="22" w:name="anatomia-da-saída-de-summarycoxph..."/>
    <w:p>
      <w:pPr>
        <w:pStyle w:val="Heading2"/>
      </w:pPr>
      <w:r>
        <w:t xml:space="preserve">2 Anatomia da saída de</w:t>
      </w:r>
      <w:r>
        <w:t xml:space="preserve"> </w:t>
      </w:r>
      <w:r>
        <w:rPr>
          <w:rStyle w:val="VerbatimChar"/>
        </w:rPr>
        <w:t xml:space="preserve">summary(coxph(...))</w:t>
      </w:r>
    </w:p>
    <w:p>
      <w:pPr>
        <w:pStyle w:val="FirstParagraph"/>
      </w:pPr>
      <w:r>
        <w:t xml:space="preserve">Vamos usar como exemplo de referência o modelo abaixo, ajustado com as variáveis</w:t>
      </w:r>
      <w:r>
        <w:t xml:space="preserve"> </w:t>
      </w:r>
      <w:r>
        <w:rPr>
          <w:rStyle w:val="VerbatimChar"/>
        </w:rPr>
        <w:t xml:space="preserve">idade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sexo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mod1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idade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tmo)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(mod1)</w:t>
      </w:r>
    </w:p>
    <w:p>
      <w:pPr>
        <w:pStyle w:val="SourceCode"/>
      </w:pP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coxph(formula = y ~ idade + sexo, data = tmo)</w:t>
      </w:r>
      <w:r>
        <w:br/>
      </w:r>
      <w:r>
        <w:br/>
      </w:r>
      <w:r>
        <w:rPr>
          <w:rStyle w:val="VerbatimChar"/>
        </w:rPr>
        <w:t xml:space="preserve">  n= 96, number of events= 49 </w:t>
      </w:r>
      <w:r>
        <w:br/>
      </w:r>
      <w:r>
        <w:br/>
      </w:r>
      <w:r>
        <w:rPr>
          <w:rStyle w:val="VerbatimChar"/>
        </w:rPr>
        <w:t xml:space="preserve">          coef exp(coef) se(coef)      z Pr(&gt;|z|)</w:t>
      </w:r>
      <w:r>
        <w:br/>
      </w:r>
      <w:r>
        <w:rPr>
          <w:rStyle w:val="VerbatimChar"/>
        </w:rPr>
        <w:t xml:space="preserve">idade -0.02167   0.97857  0.01399 -1.548    0.122</w:t>
      </w:r>
      <w:r>
        <w:br/>
      </w:r>
      <w:r>
        <w:rPr>
          <w:rStyle w:val="VerbatimChar"/>
        </w:rPr>
        <w:t xml:space="preserve">sexo2 -0.37649   0.68626  0.32120 -1.172    0.241</w:t>
      </w:r>
      <w:r>
        <w:br/>
      </w:r>
      <w:r>
        <w:br/>
      </w:r>
      <w:r>
        <w:rPr>
          <w:rStyle w:val="VerbatimChar"/>
        </w:rPr>
        <w:t xml:space="preserve">      exp(coef) exp(-coef) lower .95 upper .95</w:t>
      </w:r>
      <w:r>
        <w:br/>
      </w:r>
      <w:r>
        <w:rPr>
          <w:rStyle w:val="VerbatimChar"/>
        </w:rPr>
        <w:t xml:space="preserve">idade    0.9786      1.022    0.9521     1.006</w:t>
      </w:r>
      <w:r>
        <w:br/>
      </w:r>
      <w:r>
        <w:rPr>
          <w:rStyle w:val="VerbatimChar"/>
        </w:rPr>
        <w:t xml:space="preserve">sexo2    0.6863      1.457    0.3657     1.288</w:t>
      </w:r>
      <w:r>
        <w:br/>
      </w:r>
      <w:r>
        <w:br/>
      </w:r>
      <w:r>
        <w:rPr>
          <w:rStyle w:val="VerbatimChar"/>
        </w:rPr>
        <w:t xml:space="preserve">Concordance= 0.568  (se = 0.047 )</w:t>
      </w:r>
      <w:r>
        <w:br/>
      </w:r>
      <w:r>
        <w:rPr>
          <w:rStyle w:val="VerbatimChar"/>
        </w:rPr>
        <w:t xml:space="preserve">Likelihood ratio test= 2.92  on 2 df,   p=0.2</w:t>
      </w:r>
      <w:r>
        <w:br/>
      </w:r>
      <w:r>
        <w:rPr>
          <w:rStyle w:val="VerbatimChar"/>
        </w:rPr>
        <w:t xml:space="preserve">Wald test            = 2.85  on 2 df,   p=0.2</w:t>
      </w:r>
      <w:r>
        <w:br/>
      </w:r>
      <w:r>
        <w:rPr>
          <w:rStyle w:val="VerbatimChar"/>
        </w:rPr>
        <w:t xml:space="preserve">Score (logrank) test = 2.85  on 2 df,   p=0.2</w:t>
      </w:r>
    </w:p>
    <w:p>
      <w:pPr>
        <w:pStyle w:val="FirstParagraph"/>
      </w:pPr>
      <w:r>
        <w:t xml:space="preserve">A leitura dessa saída pode ser dividida em cinco blocos.</w:t>
      </w:r>
    </w:p>
    <w:bookmarkStart w:id="14" w:name="cabeçalho-call"/>
    <w:p>
      <w:pPr>
        <w:pStyle w:val="Heading3"/>
      </w:pPr>
      <w:r>
        <w:t xml:space="preserve">2.1 Cabeçalho (</w:t>
      </w:r>
      <w:r>
        <w:rPr>
          <w:rStyle w:val="VerbatimChar"/>
        </w:rPr>
        <w:t xml:space="preserve">Call:</w:t>
      </w:r>
      <w:r>
        <w:t xml:space="preserve">)</w:t>
      </w:r>
    </w:p>
    <w:p>
      <w:pPr>
        <w:pStyle w:val="FirstParagraph"/>
      </w:pPr>
      <w:r>
        <w:t xml:space="preserve">O R apenas repete o comando que gerou o modelo — útil para conferir se a fórmula e o banco de dados usados foram realmente os pretendidos.</w:t>
      </w:r>
    </w:p>
    <w:bookmarkEnd w:id="14"/>
    <w:bookmarkStart w:id="18" w:name="amostra-e-eventos"/>
    <w:p>
      <w:pPr>
        <w:pStyle w:val="Heading3"/>
      </w:pPr>
      <w:r>
        <w:t xml:space="preserve">2.2 Amostra e eventos</w:t>
      </w:r>
    </w:p>
    <w:p>
      <w:pPr>
        <w:pStyle w:val="SourceCode"/>
      </w:pPr>
      <w:r>
        <w:rPr>
          <w:rStyle w:val="VerbatimChar"/>
        </w:rPr>
        <w:t xml:space="preserve">n= 96, number of events= 49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</w:t>
      </w:r>
      <w:r>
        <w:t xml:space="preserve">: número total de observações (pacientes) que entraram efetivamente no modelo.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number of events</w:t>
      </w:r>
      <w:r>
        <w:t xml:space="preserve">: quantas dessas observações tiveram o evento observado (ex.: óbito). As demais foram censuradas.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C:\Users\ander\AppData\Local\Programs\Quarto\share\formats\docx\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Recomendação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Sempre confira esse número primeiro. Se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for menor que o total de linhas do banco de dados, é sinal de que o R removeu automaticamente observações com valores faltantes (</w:t>
            </w:r>
            <w:r>
              <w:rPr>
                <w:rStyle w:val="VerbatimChar"/>
              </w:rPr>
              <w:t xml:space="preserve">NA</w:t>
            </w:r>
            <w:r>
              <w:t xml:space="preserve">) em alguma covariável — o que pode comprometer a comparação entre modelos aninhados com conjuntos de variáveis diferentes (ver</w:t>
            </w:r>
            <w:r>
              <w:t xml:space="preserve"> </w:t>
            </w:r>
            <w:hyperlink w:anchor="sec-aninhados">
              <w:r>
                <w:rPr>
                  <w:rStyle w:val="Hyperlink"/>
                </w:rPr>
                <w:t xml:space="preserve">Seção 7</w:t>
              </w:r>
            </w:hyperlink>
            <w:r>
              <w:t xml:space="preserve">).</w:t>
            </w:r>
          </w:p>
          <w:p/>
        </w:tc>
      </w:tr>
    </w:tbl>
    <w:bookmarkEnd w:id="18"/>
    <w:bookmarkStart w:id="19" w:name="tabela-de-coeficientes"/>
    <w:p>
      <w:pPr>
        <w:pStyle w:val="Heading3"/>
      </w:pPr>
      <w:r>
        <w:t xml:space="preserve">2.3 Tabela de coeficientes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86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  <w:r>
              <w:t xml:space="preserve">Como usar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coef</w:t>
            </w:r>
          </w:p>
        </w:tc>
        <w:tc>
          <w:tcPr/>
          <w:p>
            <w:pPr>
              <w:pStyle w:val="Compact"/>
            </w:pPr>
            <w:r>
              <w:t xml:space="preserve">Coeficiente da regressão de Cox (log do hazard ratio)</w:t>
            </w:r>
          </w:p>
        </w:tc>
        <w:tc>
          <w:tcPr/>
          <w:p>
            <w:pPr>
              <w:pStyle w:val="Compact"/>
            </w:pPr>
            <w:r>
              <w:t xml:space="preserve">Sinal negativo = reduz o risco; positivo = aumenta o risco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exp(coef)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Hazard Ratio (HR)</w:t>
            </w:r>
            <w:r>
              <w:t xml:space="preserve"> </w:t>
            </w:r>
            <w:r>
              <w:t xml:space="preserve">— exponencial do coeficiente</w:t>
            </w:r>
          </w:p>
        </w:tc>
        <w:tc>
          <w:tcPr/>
          <w:p>
            <w:pPr>
              <w:pStyle w:val="Compact"/>
            </w:pPr>
            <w:r>
              <w:t xml:space="preserve">HR &gt; 1 = fator de risco; HR &lt; 1 = fator de proteção; HR = 1 = sem efeito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se(coef)</w:t>
            </w:r>
          </w:p>
        </w:tc>
        <w:tc>
          <w:tcPr/>
          <w:p>
            <w:pPr>
              <w:pStyle w:val="Compact"/>
            </w:pPr>
            <w:r>
              <w:t xml:space="preserve">Erro-padrão do coeficiente</w:t>
            </w:r>
          </w:p>
        </w:tc>
        <w:tc>
          <w:tcPr/>
          <w:p>
            <w:pPr>
              <w:pStyle w:val="Compact"/>
            </w:pPr>
            <w:r>
              <w:t xml:space="preserve">Quanto menor, mais precisa a estimativa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Estatística do</w:t>
            </w:r>
            <w:r>
              <w:t xml:space="preserve"> </w:t>
            </w:r>
            <w:r>
              <w:rPr>
                <w:b/>
                <w:bCs/>
              </w:rPr>
              <w:t xml:space="preserve">Teste de Wald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/</m:t>
              </m:r>
              <m:r>
                <m:t>e</m:t>
              </m:r>
              <m: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Usada para testar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Pr(&gt;\|z\|)</w:t>
            </w:r>
          </w:p>
        </w:tc>
        <w:tc>
          <w:tcPr/>
          <w:p>
            <w:pPr>
              <w:pStyle w:val="Compact"/>
            </w:pPr>
            <w:r>
              <w:t xml:space="preserve">p-valor do teste de Wald</w:t>
            </w:r>
          </w:p>
        </w:tc>
        <w:tc>
          <w:tcPr/>
          <w:p>
            <w:pPr>
              <w:pStyle w:val="Compact"/>
            </w:pPr>
            <w:r>
              <w:t xml:space="preserve">Se &lt; 0,05, a variável é considerada significativa</w:t>
            </w:r>
          </w:p>
        </w:tc>
      </w:tr>
    </w:tbl>
    <w:bookmarkEnd w:id="19"/>
    <w:bookmarkStart w:id="20" w:name="X39a229f72144f8a1427b48df56c0c94640cf63c"/>
    <w:p>
      <w:pPr>
        <w:pStyle w:val="Heading3"/>
      </w:pPr>
      <w:r>
        <w:t xml:space="preserve">2.4 Tabela de Hazard Ratios com intervalo de confiança</w:t>
      </w:r>
    </w:p>
    <w:p>
      <w:pPr>
        <w:pStyle w:val="SourceCode"/>
      </w:pPr>
      <w:r>
        <w:rPr>
          <w:rStyle w:val="VerbatimChar"/>
        </w:rPr>
        <w:t xml:space="preserve">      exp(coef) exp(-coef) lower .95 upper .95</w:t>
      </w:r>
      <w:r>
        <w:br/>
      </w:r>
      <w:r>
        <w:rPr>
          <w:rStyle w:val="VerbatimChar"/>
        </w:rPr>
        <w:t xml:space="preserve">idade    0.9786      1.022    0.9521     1.006</w:t>
      </w:r>
      <w:r>
        <w:br/>
      </w:r>
      <w:r>
        <w:rPr>
          <w:rStyle w:val="VerbatimChar"/>
        </w:rPr>
        <w:t xml:space="preserve">sexo2    0.6863      1.457    0.3657     1.288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exp(coef)</w:t>
      </w:r>
      <w:r>
        <w:t xml:space="preserve">: o hazard ratio (repetido da tabela anterior).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exp(-coef)</w:t>
      </w:r>
      <w:r>
        <w:t xml:space="preserve">: o inverso do HR — útil para inverter a direção da comparação entre os grupos.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lower .95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upper .95</w:t>
      </w:r>
      <w:r>
        <w:t xml:space="preserve">: limites do intervalo de confiança de 95% do hazard ratio.</w:t>
      </w:r>
    </w:p>
    <w:bookmarkEnd w:id="20"/>
    <w:bookmarkStart w:id="21" w:name="medidas-de-ajuste-global"/>
    <w:p>
      <w:pPr>
        <w:pStyle w:val="Heading3"/>
      </w:pPr>
      <w:r>
        <w:t xml:space="preserve">2.5 Medidas de ajuste global</w:t>
      </w:r>
    </w:p>
    <w:p>
      <w:pPr>
        <w:pStyle w:val="SourceCode"/>
      </w:pPr>
      <w:r>
        <w:rPr>
          <w:rStyle w:val="VerbatimChar"/>
        </w:rPr>
        <w:t xml:space="preserve">Concordance= 0.568  (se = 0.047 )</w:t>
      </w:r>
      <w:r>
        <w:br/>
      </w:r>
      <w:r>
        <w:rPr>
          <w:rStyle w:val="VerbatimChar"/>
        </w:rPr>
        <w:t xml:space="preserve">Likelihood ratio test= 2.92  on 2 df,   p=0.2</w:t>
      </w:r>
      <w:r>
        <w:br/>
      </w:r>
      <w:r>
        <w:rPr>
          <w:rStyle w:val="VerbatimChar"/>
        </w:rPr>
        <w:t xml:space="preserve">Wald test            = 2.85  on 2 df,   p=0.2</w:t>
      </w:r>
      <w:r>
        <w:br/>
      </w:r>
      <w:r>
        <w:rPr>
          <w:rStyle w:val="VerbatimChar"/>
        </w:rPr>
        <w:t xml:space="preserve">Score (logrank) test = 2.85  on 2 df,   p=0.2</w:t>
      </w:r>
    </w:p>
    <w:p>
      <w:pPr>
        <w:pStyle w:val="FirstParagraph"/>
      </w:pPr>
      <w:r>
        <w:t xml:space="preserve">Essas quatro linhas resumem a qualidade do modelo</w:t>
      </w:r>
      <w:r>
        <w:t xml:space="preserve"> </w:t>
      </w:r>
      <w:r>
        <w:rPr>
          <w:b/>
          <w:bCs/>
        </w:rPr>
        <w:t xml:space="preserve">como um todo</w:t>
      </w:r>
      <w:r>
        <w:t xml:space="preserve"> </w:t>
      </w:r>
      <w:r>
        <w:t xml:space="preserve">(e não de uma variável isolada). São discutidas em detalhe nas seções seguintes.</w:t>
      </w:r>
    </w:p>
    <w:bookmarkEnd w:id="21"/>
    <w:bookmarkEnd w:id="22"/>
    <w:bookmarkStart w:id="27" w:name="interpretando-o-hazard-ratio-hr"/>
    <w:p>
      <w:pPr>
        <w:pStyle w:val="Heading2"/>
      </w:pPr>
      <w:r>
        <w:t xml:space="preserve">3 Interpretando o Hazard Ratio (HR)</w:t>
      </w:r>
    </w:p>
    <w:p>
      <w:pPr>
        <w:pStyle w:val="FirstParagraph"/>
      </w:pPr>
      <w:r>
        <w:t xml:space="preserve">O HR =</w:t>
      </w:r>
      <w:r>
        <w:t xml:space="preserve"> </w:t>
      </w:r>
      <w:r>
        <w:rPr>
          <w:rStyle w:val="VerbatimChar"/>
        </w:rPr>
        <w:t xml:space="preserve">exp(coef)</w:t>
      </w:r>
      <w:r>
        <w:t xml:space="preserve"> </w:t>
      </w:r>
      <w:r>
        <w:t xml:space="preserve">é a informação mais importante da tabela de coeficientes. Ele expressa a razão entre o risco instantâneo de dois indivíduos que diferem em uma unidade na covariável, mantendo as demais fixas.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5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 do HR</w:t>
            </w:r>
          </w:p>
        </w:tc>
        <w:tc>
          <w:tcPr/>
          <w:p>
            <w:pPr>
              <w:pStyle w:val="Compac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= 1</w:t>
            </w:r>
          </w:p>
        </w:tc>
        <w:tc>
          <w:tcPr/>
          <w:p>
            <w:pPr>
              <w:pStyle w:val="Compact"/>
            </w:pPr>
            <w:r>
              <w:t xml:space="preserve">Nenhum efeito da covariável sobre o risco (valor de nulidade)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&gt; 1</w:t>
            </w:r>
          </w:p>
        </w:tc>
        <w:tc>
          <w:tcPr/>
          <w:p>
            <w:pPr>
              <w:pStyle w:val="Compact"/>
            </w:pPr>
            <w:r>
              <w:t xml:space="preserve">Fator de risco — a covariável aumenta o risco do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&lt; 1</w:t>
            </w:r>
          </w:p>
        </w:tc>
        <w:tc>
          <w:tcPr/>
          <w:p>
            <w:pPr>
              <w:pStyle w:val="Compact"/>
            </w:pPr>
            <w:r>
              <w:t xml:space="preserve">Fator de proteção — a covariável reduz o risco do evento</w:t>
            </w:r>
          </w:p>
        </w:tc>
      </w:tr>
    </w:tbl>
    <w:p>
      <w:pPr>
        <w:pStyle w:val="BodyText"/>
      </w:pPr>
      <w:r>
        <w:t xml:space="preserve">Applied Survival Analysis (Hosmer, Lemeshow &amp; May) traz um exemplo clássico: em um estudo com HR = 1,74 para sexo (feminino vs. masculino), a interpretação correta é que mulheres morrem a uma taxa cerca de 1,74 vezes maior que a dos homens ao longo do período de estudo. Uma forma alternativa — e, segundo os autores, muitas vezes mais compreensível — é expressar o HR como percentual de mudança em relação ao valor de nulidade (1):</w:t>
      </w:r>
    </w:p>
    <w:p>
      <w:pPr>
        <w:pStyle w:val="BlockText"/>
      </w:pPr>
      <w:r>
        <w:t xml:space="preserve">“a taxa de óbito entre mulheres é 74% maior do que entre homens”</w:t>
      </w:r>
      <w:r>
        <w:t xml:space="preserve"> </w:t>
      </w:r>
      <w:r>
        <w:t xml:space="preserve">(em vez de</w:t>
      </w:r>
      <w:r>
        <w:t xml:space="preserve"> </w:t>
      </w:r>
      <w:r>
        <w:t xml:space="preserve">“1,74 vezes maior”</w:t>
      </w:r>
      <w:r>
        <w:t xml:space="preserve">)</w:t>
      </w:r>
    </w:p>
    <w:p>
      <w:pPr>
        <w:pStyle w:val="FirstParagraph"/>
      </w:pPr>
      <w:r>
        <w:t xml:space="preserve">A mesma lógica se aplica a efeitos protetores (HR &lt; 1) — os autores destacam que pesquisadores costumam ter mais dificuldade para interpretar esse caso. Um HR = 0,505, por exemplo, pode ser lido de duas formas equivalentes:</w:t>
      </w:r>
    </w:p>
    <w:p>
      <w:pPr>
        <w:pStyle w:val="Compact"/>
        <w:numPr>
          <w:ilvl w:val="0"/>
          <w:numId w:val="1004"/>
        </w:numPr>
      </w:pPr>
      <w:r>
        <w:t xml:space="preserve">“A taxa de progressão da doença no grupo tratado é 0,505 vezes a do grupo controle”</w:t>
      </w:r>
      <w:r>
        <w:t xml:space="preserve">; ou</w:t>
      </w:r>
    </w:p>
    <w:p>
      <w:pPr>
        <w:pStyle w:val="Compact"/>
        <w:numPr>
          <w:ilvl w:val="0"/>
          <w:numId w:val="1004"/>
        </w:numPr>
      </w:pPr>
      <w:r>
        <w:t xml:space="preserve">“A taxa de progressão da doença no grupo tratado é 49,5% menor do que no grupo controle”</w:t>
      </w:r>
      <w:r>
        <w:t xml:space="preserve">.</w:t>
      </w:r>
    </w:p>
    <w:bookmarkStart w:id="26" w:name="traduzindo-o-exemplo-do-curso"/>
    <w:p>
      <w:pPr>
        <w:pStyle w:val="Heading3"/>
      </w:pPr>
      <w:r>
        <w:t xml:space="preserve">3.1 Traduzindo o exemplo do curso</w:t>
      </w:r>
    </w:p>
    <w:p>
      <w:pPr>
        <w:pStyle w:val="FirstParagraph"/>
      </w:pPr>
      <w:r>
        <w:rPr>
          <w:rStyle w:val="VerbatimChar"/>
          <w:b/>
          <w:bCs/>
        </w:rPr>
        <w:t xml:space="preserve">idade</w:t>
      </w:r>
      <w:r>
        <w:t xml:space="preserve">: HR = 0,9786. Como o HR é menor que 1, a idade atua como um discreto fator de</w:t>
      </w:r>
      <w:r>
        <w:t xml:space="preserve"> </w:t>
      </w:r>
      <w:r>
        <w:rPr>
          <w:b/>
          <w:bCs/>
        </w:rPr>
        <w:t xml:space="preserve">proteção</w:t>
      </w:r>
      <w:r>
        <w:t xml:space="preserve"> </w:t>
      </w:r>
      <w:r>
        <w:t xml:space="preserve">neste modelo — a cada ano de idade a mais, o risco de óbito é multiplicado por 0,9786 (redução de ~2,1%). Porém, z = -1,548 e p = 0,122 (acima de 0,05) — não há evidência estatística suficiente de que esse efeito exista de fato na população.</w:t>
      </w:r>
    </w:p>
    <w:p>
      <w:pPr>
        <w:pStyle w:val="BodyText"/>
      </w:pPr>
      <w:r>
        <w:rPr>
          <w:rStyle w:val="VerbatimChar"/>
          <w:b/>
          <w:bCs/>
        </w:rPr>
        <w:t xml:space="preserve">sexo2</w:t>
      </w:r>
      <w:r>
        <w:t xml:space="preserve">: HR = 0,6863, também menor que 1, sugerindo ~31% menos risco no grupo</w:t>
      </w:r>
      <w:r>
        <w:t xml:space="preserve"> </w:t>
      </w:r>
      <w:r>
        <w:t xml:space="preserve">“sexo2”</w:t>
      </w:r>
      <w:r>
        <w:t xml:space="preserve"> </w:t>
      </w:r>
      <w:r>
        <w:t xml:space="preserve">em relação à categoria de referência. Mas z = -1,172 e p = 0,241 —</w:t>
      </w:r>
      <w:r>
        <w:t xml:space="preserve"> </w:t>
      </w:r>
      <w:r>
        <w:rPr>
          <w:b/>
          <w:bCs/>
        </w:rPr>
        <w:t xml:space="preserve">não significativo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:\Users\ander\AppData\Local\Programs\Quarto\share\formats\docx\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 R nomeia a linha</w:t>
            </w:r>
            <w:r>
              <w:t xml:space="preserve"> </w:t>
            </w:r>
            <w:r>
              <w:rPr>
                <w:rStyle w:val="VerbatimChar"/>
              </w:rPr>
              <w:t xml:space="preserve">sexo2</w:t>
            </w:r>
            <w:r>
              <w:t xml:space="preserve"> </w:t>
            </w:r>
            <w:r>
              <w:t xml:space="preserve">porque</w:t>
            </w:r>
            <w:r>
              <w:t xml:space="preserve"> </w:t>
            </w:r>
            <w:r>
              <w:rPr>
                <w:rStyle w:val="VerbatimChar"/>
              </w:rPr>
              <w:t xml:space="preserve">sexo</w:t>
            </w:r>
            <w:r>
              <w:t xml:space="preserve"> </w:t>
            </w:r>
            <w:r>
              <w:t xml:space="preserve">foi transformado em</w:t>
            </w:r>
            <w:r>
              <w:t xml:space="preserve"> </w:t>
            </w:r>
            <w:r>
              <w:rPr>
                <w:rStyle w:val="VerbatimChar"/>
              </w:rPr>
              <w:t xml:space="preserve">factor()</w:t>
            </w:r>
            <w:r>
              <w:t xml:space="preserve">. O R sempre usa o primeiro nível como categoria de referência e cria uma linha para cada nível seguinte. Para saber qual nível é a referência, use</w:t>
            </w:r>
            <w:r>
              <w:t xml:space="preserve"> </w:t>
            </w:r>
            <w:r>
              <w:rPr>
                <w:rStyle w:val="VerbatimChar"/>
              </w:rPr>
              <w:t xml:space="preserve">levels(tmo$sexo)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os-três-testes-de-significância"/>
    <w:p>
      <w:pPr>
        <w:pStyle w:val="Heading2"/>
      </w:pPr>
      <w:r>
        <w:t xml:space="preserve">4 Os três testes de significância</w:t>
      </w:r>
    </w:p>
    <w:p>
      <w:pPr>
        <w:pStyle w:val="FirstParagraph"/>
      </w:pPr>
      <w:r>
        <w:t xml:space="preserve">O R reporta três testes diferentes para avaliar a significância de coeficientes e de modelos. Todos testam, em essência, a mesma hipótese nula, mas usam abordagens matemáticas distintas — e podem, em amostras pequenas, apontar conclusões ligeiramente diferentes.</w:t>
      </w:r>
    </w:p>
    <w:bookmarkStart w:id="28" w:name="teste-de-wald"/>
    <w:p>
      <w:pPr>
        <w:pStyle w:val="Heading3"/>
      </w:pPr>
      <w:r>
        <w:t xml:space="preserve">4.1 Teste de Wald</w:t>
      </w:r>
    </w:p>
    <w:p>
      <w:pPr>
        <w:pStyle w:val="FirstParagraph"/>
      </w:pPr>
      <w:r>
        <w:t xml:space="preserve">Usado para cada coeficiente individualmente (coluna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Pr(&gt;|z|)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z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/</m:t>
          </m:r>
          <m:r>
            <m:t>e</m:t>
          </m:r>
          <m:r>
            <m:t>p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É simplesmente o coeficiente dividido pelo seu erro-padrão. Quanto mais distante de zero, mais improvável é que o verdadeiro efeito seja nulo. Alguns pacotes (como o SAS) reportam o quadrado dessa estatística, que segue distribuição qui-quadrado com 1 grau de liberdade — resultado equivalente.</w:t>
      </w:r>
    </w:p>
    <w:bookmarkEnd w:id="28"/>
    <w:bookmarkStart w:id="29" w:name="Xaf7f242b1c33f1083be9d1501ba250560ba167b"/>
    <w:p>
      <w:pPr>
        <w:pStyle w:val="Heading3"/>
      </w:pPr>
      <w:r>
        <w:t xml:space="preserve">4.2 Teste da Razão de Verossimilhança (Likelihood Ratio Test)</w:t>
      </w:r>
    </w:p>
    <w:p>
      <w:pPr>
        <w:pStyle w:val="FirstParagraph"/>
      </w:pPr>
      <w:r>
        <w:t xml:space="preserve">Compara o modelo ajustado com um modelo reduzido (ou nulo):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M</m:t>
          </m:r>
          <m:r>
            <m:t>o</m:t>
          </m:r>
          <m:sSub>
            <m:e>
              <m:r>
                <m:t>d</m:t>
              </m:r>
            </m:e>
            <m:sub>
              <m:r>
                <m:t>m</m:t>
              </m:r>
              <m:r>
                <m:t>a</m:t>
              </m:r>
              <m:r>
                <m:t>i</m:t>
              </m:r>
              <m:r>
                <m:t>o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o</m:t>
          </m:r>
          <m:sSub>
            <m:e>
              <m:r>
                <m:t>d</m:t>
              </m:r>
            </m:e>
            <m:sub>
              <m:r>
                <m:t>m</m:t>
              </m:r>
              <m:r>
                <m:t>e</m:t>
              </m:r>
              <m:r>
                <m:t>n</m:t>
              </m:r>
              <m:r>
                <m:t>o</m:t>
              </m:r>
              <m:r>
                <m:t>r</m:t>
              </m:r>
            </m:sub>
          </m:sSub>
          <m:r>
            <m:t>  </m:t>
          </m:r>
          <m:r>
            <m:t>R</m:t>
          </m:r>
          <m:r>
            <m:t>V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m</m:t>
              </m:r>
              <m:r>
                <m:t>a</m:t>
              </m:r>
              <m:r>
                <m:t>i</m:t>
              </m:r>
              <m:r>
                <m:t>o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m</m:t>
              </m:r>
              <m:r>
                <m:t>e</m:t>
              </m:r>
              <m:r>
                <m:t>n</m:t>
              </m:r>
              <m:r>
                <m:t>o</m:t>
              </m:r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sSubSup>
            <m:e>
              <m:r>
                <m:t>χ</m:t>
              </m:r>
            </m:e>
            <m: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É o teste recomendado para comparar modelos aninhados (ver</w:t>
      </w:r>
      <w:r>
        <w:t xml:space="preserve"> </w:t>
      </w:r>
      <w:hyperlink w:anchor="sec-aninhados">
        <w:r>
          <w:rPr>
            <w:rStyle w:val="Hyperlink"/>
          </w:rPr>
          <w:t xml:space="preserve">Seção 7</w:t>
        </w:r>
      </w:hyperlink>
      <w:r>
        <w:t xml:space="preserve">), e costuma ser mais robusto que o teste de Wald quando o número de observações é pequeno. Em amostras grandes, os dois testes tendem a convergir para resultados assintoticamente equivalentes.</w:t>
      </w:r>
    </w:p>
    <w:bookmarkEnd w:id="29"/>
    <w:bookmarkStart w:id="32" w:name="teste-de-escore-score-log-rank-test"/>
    <w:p>
      <w:pPr>
        <w:pStyle w:val="Heading3"/>
      </w:pPr>
      <w:r>
        <w:t xml:space="preserve">4.3 Teste de Escore (Score / log-rank test)</w:t>
      </w:r>
    </w:p>
    <w:p>
      <w:pPr>
        <w:pStyle w:val="FirstParagraph"/>
      </w:pPr>
      <w:r>
        <w:t xml:space="preserve">Baseado na derivada da log-verossimilhança parcial avaliada em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 Também segue distribuição normal padrão sob a hipótese nula. Quando o modelo tem apenas uma covariável categórica, esse teste coincide com o teste log-rank já conhecido da análise não paramétrica (Kaplan-Meier).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C:\Users\ander\AppData\Local\Programs\Quarto\share\formats\docx\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Quando os três testes divergem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É comum, especialmente perto do limiar de significância (p ≈ 0,05), que os três testes apontem conclusões ligeiramente diferentes. A recomendação de Hosmer, Lemeshow e May é</w:t>
            </w:r>
            <w:r>
              <w:t xml:space="preserve"> </w:t>
            </w:r>
            <w:r>
              <w:rPr>
                <w:b/>
                <w:bCs/>
              </w:rPr>
              <w:t xml:space="preserve">reportar todos os resultados obtidos</w:t>
            </w:r>
            <w:r>
              <w:t xml:space="preserve">, permitindo que o leitor avalie as diferentes conclusões dentro do contexto de seus próprios objetivos de pesquisa.</w:t>
            </w:r>
          </w:p>
          <w:p/>
        </w:tc>
      </w:tr>
    </w:tbl>
    <w:bookmarkEnd w:id="32"/>
    <w:bookmarkEnd w:id="33"/>
    <w:bookmarkStart w:id="37" w:name="X55a2af0fc92a48aa8160337bba8b36e50b63c2d"/>
    <w:p>
      <w:pPr>
        <w:pStyle w:val="Heading2"/>
      </w:pPr>
      <w:r>
        <w:t xml:space="preserve">5 Intervalo de confiança e o valor de nulidade</w:t>
      </w:r>
    </w:p>
    <w:p>
      <w:pPr>
        <w:pStyle w:val="FirstParagraph"/>
      </w:pPr>
      <w:r>
        <w:t xml:space="preserve">Para o hazard ratio, o</w:t>
      </w:r>
      <w:r>
        <w:t xml:space="preserve"> </w:t>
      </w:r>
      <w:r>
        <w:rPr>
          <w:b/>
          <w:bCs/>
        </w:rPr>
        <w:t xml:space="preserve">valor de nulidade é sempre 1</w:t>
      </w:r>
      <w:r>
        <w:t xml:space="preserve"> </w:t>
      </w:r>
      <w:r>
        <w:t xml:space="preserve">— porque HR = 1 significa nenhuma diferença de risco entre os grupos comparados. As hipóteses do teste são: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H</m:t>
          </m:r>
          <m:r>
            <m:t>R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(sem efeito)</m:t>
          </m:r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H</m:t>
          </m:r>
          <m:r>
            <m:t>R</m:t>
          </m:r>
          <m:r>
            <m:rPr>
              <m:sty m:val="p"/>
            </m:rPr>
            <m:t>≠</m:t>
          </m:r>
          <m:r>
            <m:t>1</m:t>
          </m:r>
          <m:r>
            <m:rPr>
              <m:nor/>
              <m:sty m:val="p"/>
            </m:rPr>
            <m:t> (há efeito)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C:\Users\ander\AppData\Local\Programs\Quarto\share\formats\docx\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Regra prática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 o intervalo de confiança de 95% do HR</w:t>
            </w:r>
            <w:r>
              <w:t xml:space="preserve"> </w:t>
            </w:r>
            <w:r>
              <w:rPr>
                <w:b/>
                <w:bCs/>
              </w:rPr>
              <w:t xml:space="preserve">não contém o valor 1</w:t>
            </w:r>
            <w:r>
              <w:t xml:space="preserve">, rejeita-se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com 95% de confiança — equivalente a p &lt; 0,05 no teste de Wald. Se o intervalo</w:t>
            </w:r>
            <w:r>
              <w:t xml:space="preserve"> </w:t>
            </w:r>
            <w:r>
              <w:rPr>
                <w:b/>
                <w:bCs/>
              </w:rPr>
              <w:t xml:space="preserve">contém o 1</w:t>
            </w:r>
            <w:r>
              <w:t xml:space="preserve">, a variável não é considerada significativa.</w:t>
            </w:r>
          </w:p>
          <w:p/>
        </w:tc>
      </w:tr>
    </w:tbl>
    <w:p>
      <w:pPr>
        <w:pStyle w:val="BodyText"/>
      </w:pPr>
      <w:r>
        <w:t xml:space="preserve">No exemplo do curso, os intervalos de</w:t>
      </w:r>
      <w:r>
        <w:t xml:space="preserve"> </w:t>
      </w:r>
      <w:r>
        <w:rPr>
          <w:rStyle w:val="VerbatimChar"/>
        </w:rPr>
        <w:t xml:space="preserve">idade</w:t>
      </w:r>
      <w:r>
        <w:t xml:space="preserve"> </w:t>
      </w:r>
      <w:r>
        <w:t xml:space="preserve">(0,9521 – 1,006) e</w:t>
      </w:r>
      <w:r>
        <w:t xml:space="preserve"> </w:t>
      </w:r>
      <w:r>
        <w:rPr>
          <w:rStyle w:val="VerbatimChar"/>
        </w:rPr>
        <w:t xml:space="preserve">sexo2</w:t>
      </w:r>
      <w:r>
        <w:t xml:space="preserve"> </w:t>
      </w:r>
      <w:r>
        <w:t xml:space="preserve">(0,3657 – 1,288) contêm o valor 1 — coerente com os p-valores de 0,122 e 0,241 vistos anteriormente. São duas formas diferentes de chegar exatamente à mesma conclusão.</w:t>
      </w:r>
    </w:p>
    <w:bookmarkEnd w:id="37"/>
    <w:bookmarkStart w:id="38" w:name="Xd91efd69fa50c5c3210bb5b7842a9d3fc1ca754"/>
    <w:p>
      <w:pPr>
        <w:pStyle w:val="Heading2"/>
      </w:pPr>
      <w:r>
        <w:t xml:space="preserve">6 Concordância: avaliando o poder discriminatório do modelo</w:t>
      </w:r>
    </w:p>
    <w:p>
      <w:pPr>
        <w:pStyle w:val="FirstParagraph"/>
      </w:pPr>
      <w:r>
        <w:t xml:space="preserve">A concordância é uma medida global de ajuste usada quando o objetivo do modelo é</w:t>
      </w:r>
      <w:r>
        <w:t xml:space="preserve"> </w:t>
      </w:r>
      <w:r>
        <w:rPr>
          <w:b/>
          <w:bCs/>
        </w:rPr>
        <w:t xml:space="preserve">predizer risco</w:t>
      </w:r>
      <w:r>
        <w:t xml:space="preserve">. Ela avalia a capacidade do modelo de ordenar corretamente os indivíduos por risco — de forma análoga à área sob a curva ROC (AUC) em regressão logística.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Concordância (c)</w:t>
            </w:r>
          </w:p>
        </w:tc>
        <w:tc>
          <w:tcPr/>
          <w:p>
            <w:pPr>
              <w:pStyle w:val="Compact"/>
            </w:pPr>
            <w:r>
              <w:t xml:space="preserve">Poder discriminatório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0,3 &lt; c &lt; 0,4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= 0,5</w:t>
            </w:r>
          </w:p>
        </w:tc>
        <w:tc>
          <w:tcPr/>
          <w:p>
            <w:pPr>
              <w:pStyle w:val="Compact"/>
            </w:pPr>
            <w:r>
              <w:t xml:space="preserve">Equivalente ao acaso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0,6 ≤ c &lt; 0,7</w:t>
            </w:r>
          </w:p>
        </w:tc>
        <w:tc>
          <w:tcPr/>
          <w:p>
            <w:pPr>
              <w:pStyle w:val="Compact"/>
            </w:pPr>
            <w:r>
              <w:t xml:space="preserve">Comum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0,7 ≤ c &lt; 0,8</w:t>
            </w:r>
          </w:p>
        </w:tc>
        <w:tc>
          <w:tcPr/>
          <w:p>
            <w:pPr>
              <w:pStyle w:val="Compact"/>
            </w:pPr>
            <w:r>
              <w:t xml:space="preserve">Muito 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0,8 ≤ c &lt; 0,9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</w:tr>
    </w:tbl>
    <w:p>
      <w:pPr>
        <w:pStyle w:val="BodyText"/>
      </w:pPr>
      <w:r>
        <w:t xml:space="preserve">No exemplo do curso, c = 0,568 está bem próximo de 0,5 (chute aleatório) — o poder discriminatório do modelo é</w:t>
      </w:r>
      <w:r>
        <w:t xml:space="preserve"> </w:t>
      </w:r>
      <w:r>
        <w:rPr>
          <w:b/>
          <w:bCs/>
        </w:rPr>
        <w:t xml:space="preserve">fraco</w:t>
      </w:r>
      <w:r>
        <w:t xml:space="preserve">.</w:t>
      </w:r>
    </w:p>
    <w:bookmarkEnd w:id="38"/>
    <w:bookmarkStart w:id="39" w:name="sec-aninhados"/>
    <w:p>
      <w:pPr>
        <w:pStyle w:val="Heading2"/>
      </w:pPr>
      <w:r>
        <w:t xml:space="preserve">7 Comparando modelos aninhados</w:t>
      </w:r>
    </w:p>
    <w:p>
      <w:pPr>
        <w:pStyle w:val="FirstParagraph"/>
      </w:pPr>
      <w:r>
        <w:t xml:space="preserve">Para decidir se novas covariáveis melhoram significativamente o modelo, usa-se o teste da razão de verossimilhança entre modelos aninhados, via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mod2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idade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fase,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tmo)</w:t>
      </w:r>
      <w:r>
        <w:br/>
      </w:r>
      <w:r>
        <w:rPr>
          <w:rStyle w:val="NormalTok"/>
        </w:rPr>
        <w:t xml:space="preserve">mod3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idade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deag,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tmo)</w:t>
      </w:r>
      <w:r>
        <w:br/>
      </w:r>
      <w:r>
        <w:rPr>
          <w:rStyle w:val="NormalTok"/>
        </w:rPr>
        <w:t xml:space="preserve">mod4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idade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deag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decr,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tmo)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(mod1, mod2, mod3, mod4,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Analysis of Deviance Table</w:t>
      </w:r>
      <w:r>
        <w:br/>
      </w:r>
      <w:r>
        <w:rPr>
          <w:rStyle w:val="VerbatimChar"/>
        </w:rPr>
        <w:t xml:space="preserve">Cox model: response is y</w:t>
      </w:r>
      <w:r>
        <w:br/>
      </w:r>
      <w:r>
        <w:rPr>
          <w:rStyle w:val="VerbatimChar"/>
        </w:rPr>
        <w:t xml:space="preserve">Model 1: ~ idade + sexo</w:t>
      </w:r>
      <w:r>
        <w:br/>
      </w:r>
      <w:r>
        <w:rPr>
          <w:rStyle w:val="VerbatimChar"/>
        </w:rPr>
        <w:t xml:space="preserve">Model 2: ~ idade + sexo + fase</w:t>
      </w:r>
      <w:r>
        <w:br/>
      </w:r>
      <w:r>
        <w:rPr>
          <w:rStyle w:val="VerbatimChar"/>
        </w:rPr>
        <w:t xml:space="preserve">Model 3: ~ idade + sexo + fase + deag</w:t>
      </w:r>
      <w:r>
        <w:br/>
      </w:r>
      <w:r>
        <w:rPr>
          <w:rStyle w:val="VerbatimChar"/>
        </w:rPr>
        <w:t xml:space="preserve">Model 4: ~ idade + sexo + fase + deag + decr</w:t>
      </w:r>
      <w:r>
        <w:br/>
      </w:r>
      <w:r>
        <w:rPr>
          <w:rStyle w:val="VerbatimChar"/>
        </w:rPr>
        <w:t xml:space="preserve">   loglik  Chisq Df P(&gt;|Chi|)    </w:t>
      </w:r>
      <w:r>
        <w:br/>
      </w:r>
      <w:r>
        <w:rPr>
          <w:rStyle w:val="VerbatimChar"/>
        </w:rPr>
        <w:t xml:space="preserve">1 -201.94                        </w:t>
      </w:r>
      <w:r>
        <w:br/>
      </w:r>
      <w:r>
        <w:rPr>
          <w:rStyle w:val="VerbatimChar"/>
        </w:rPr>
        <w:t xml:space="preserve">2 -194.70 14.486  2 0.0007152 ***</w:t>
      </w:r>
      <w:r>
        <w:br/>
      </w:r>
      <w:r>
        <w:rPr>
          <w:rStyle w:val="VerbatimChar"/>
        </w:rPr>
        <w:t xml:space="preserve">3 -188.15 13.109  1 0.0002939 ***</w:t>
      </w:r>
      <w:r>
        <w:br/>
      </w:r>
      <w:r>
        <w:rPr>
          <w:rStyle w:val="VerbatimChar"/>
        </w:rPr>
        <w:t xml:space="preserve">4 -183.07 10.152  1 0.0014413 ** </w:t>
      </w:r>
    </w:p>
    <w:p>
      <w:pPr>
        <w:pStyle w:val="FirstParagraph"/>
      </w:pPr>
      <w:r>
        <w:t xml:space="preserve">Cuidados importantes ao usar essa comparação:</w:t>
      </w:r>
    </w:p>
    <w:p>
      <w:pPr>
        <w:pStyle w:val="Compact"/>
        <w:numPr>
          <w:ilvl w:val="0"/>
          <w:numId w:val="1005"/>
        </w:numPr>
      </w:pPr>
      <w:r>
        <w:t xml:space="preserve">Os modelos precisam ser</w:t>
      </w:r>
      <w:r>
        <w:t xml:space="preserve"> </w:t>
      </w:r>
      <w:r>
        <w:rPr>
          <w:b/>
          <w:bCs/>
        </w:rPr>
        <w:t xml:space="preserve">aninhados</w:t>
      </w:r>
      <w:r>
        <w:t xml:space="preserve"> </w:t>
      </w:r>
      <w:r>
        <w:t xml:space="preserve">(um contido no outro) e ajustados sobre o</w:t>
      </w:r>
      <w:r>
        <w:t xml:space="preserve"> </w:t>
      </w:r>
      <w:r>
        <w:rPr>
          <w:b/>
          <w:bCs/>
        </w:rPr>
        <w:t xml:space="preserve">mesmo conjunto de observações</w:t>
      </w:r>
      <w:r>
        <w:t xml:space="preserve"> </w:t>
      </w:r>
      <w:r>
        <w:t xml:space="preserve">(mesmo</w:t>
      </w:r>
      <w:r>
        <w:t xml:space="preserve"> </w:t>
      </w:r>
      <w:r>
        <w:rPr>
          <w:rStyle w:val="VerbatimChar"/>
        </w:rPr>
        <w:t xml:space="preserve">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Não é possível comparar diretamente modelos estratificados com modelos não estratificados.</w:t>
      </w:r>
    </w:p>
    <w:p>
      <w:pPr>
        <w:pStyle w:val="Compact"/>
        <w:numPr>
          <w:ilvl w:val="0"/>
          <w:numId w:val="1005"/>
        </w:numPr>
      </w:pPr>
      <w:r>
        <w:t xml:space="preserve">Se houver valores faltantes em alguma covariável, os modelos podem perder comparabilidade — use</w:t>
      </w:r>
      <w:r>
        <w:t xml:space="preserve"> </w:t>
      </w:r>
      <w:r>
        <w:rPr>
          <w:rStyle w:val="VerbatimChar"/>
        </w:rPr>
        <w:t xml:space="preserve">complete.cases()</w:t>
      </w:r>
      <w:r>
        <w:t xml:space="preserve"> </w:t>
      </w:r>
      <w:r>
        <w:t xml:space="preserve">para garantir que todos sejam ajustados sobre exatamente as mesmas observações.</w:t>
      </w:r>
    </w:p>
    <w:p>
      <w:pPr>
        <w:pStyle w:val="Compact"/>
        <w:numPr>
          <w:ilvl w:val="0"/>
          <w:numId w:val="1005"/>
        </w:numPr>
      </w:pPr>
      <w:r>
        <w:t xml:space="preserve">Em amostras pequenas, a análise pela função desvio (razão de verossimilhança) tende a ser mais robusta do que o teste de Wald equivalente.</w:t>
      </w:r>
    </w:p>
    <w:bookmarkEnd w:id="39"/>
    <w:bookmarkStart w:id="40" w:name="roteiro-rápido-de-leitura"/>
    <w:p>
      <w:pPr>
        <w:pStyle w:val="Heading2"/>
      </w:pPr>
      <w:r>
        <w:t xml:space="preserve">8 Roteiro rápido de leitura</w:t>
      </w:r>
    </w:p>
    <w:p>
      <w:pPr>
        <w:pStyle w:val="FirstParagraph"/>
      </w:pPr>
      <w:r>
        <w:t xml:space="preserve">Para qualquer saída de</w:t>
      </w:r>
      <w:r>
        <w:t xml:space="preserve"> </w:t>
      </w:r>
      <w:r>
        <w:rPr>
          <w:rStyle w:val="VerbatimChar"/>
        </w:rPr>
        <w:t xml:space="preserve">summary(coxph(...))</w:t>
      </w:r>
      <w:r>
        <w:t xml:space="preserve">, siga esta sequência:</w:t>
      </w:r>
    </w:p>
    <w:p>
      <w:pPr>
        <w:pStyle w:val="Compact"/>
        <w:numPr>
          <w:ilvl w:val="0"/>
          <w:numId w:val="1006"/>
        </w:numPr>
      </w:pPr>
      <w:r>
        <w:t xml:space="preserve">Confirme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number of events</w:t>
      </w:r>
      <w:r>
        <w:t xml:space="preserve"> </w:t>
      </w:r>
      <w:r>
        <w:t xml:space="preserve">— a amostra está completa, sem perda inesperada de observações?</w:t>
      </w:r>
    </w:p>
    <w:p>
      <w:pPr>
        <w:pStyle w:val="Compact"/>
        <w:numPr>
          <w:ilvl w:val="0"/>
          <w:numId w:val="1006"/>
        </w:numPr>
      </w:pPr>
      <w:r>
        <w:t xml:space="preserve">Para cada covariável, leia</w:t>
      </w:r>
      <w:r>
        <w:t xml:space="preserve"> </w:t>
      </w:r>
      <w:r>
        <w:rPr>
          <w:rStyle w:val="VerbatimChar"/>
        </w:rPr>
        <w:t xml:space="preserve">exp(coef)</w:t>
      </w:r>
      <w:r>
        <w:t xml:space="preserve"> </w:t>
      </w:r>
      <w:r>
        <w:t xml:space="preserve">— é o hazard ratio: acima de 1 indica risco, abaixo de 1 indica proteção.</w:t>
      </w:r>
    </w:p>
    <w:p>
      <w:pPr>
        <w:pStyle w:val="Compact"/>
        <w:numPr>
          <w:ilvl w:val="0"/>
          <w:numId w:val="1006"/>
        </w:numPr>
      </w:pPr>
      <w:r>
        <w:t xml:space="preserve">Verifique a significância pelo teste de Wald (</w:t>
      </w:r>
      <w:r>
        <w:rPr>
          <w:rStyle w:val="VerbatimChar"/>
        </w:rPr>
        <w:t xml:space="preserve">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Pr(&gt;|z|)</w:t>
      </w:r>
      <w:r>
        <w:t xml:space="preserve">) ou pelo intervalo de confiança de 95% do HR — lembrando que o valor de nulidade é 1.</w:t>
      </w:r>
    </w:p>
    <w:p>
      <w:pPr>
        <w:pStyle w:val="Compact"/>
        <w:numPr>
          <w:ilvl w:val="0"/>
          <w:numId w:val="1006"/>
        </w:numPr>
      </w:pPr>
      <w:r>
        <w:t xml:space="preserve">Avalie a</w:t>
      </w:r>
      <w:r>
        <w:t xml:space="preserve"> </w:t>
      </w:r>
      <w:r>
        <w:rPr>
          <w:b/>
          <w:bCs/>
        </w:rPr>
        <w:t xml:space="preserve">Concordância</w:t>
      </w:r>
      <w:r>
        <w:t xml:space="preserve">, usando a tabela de referência acima, para julgar o poder discriminatório do modelo.</w:t>
      </w:r>
    </w:p>
    <w:p>
      <w:pPr>
        <w:pStyle w:val="Compact"/>
        <w:numPr>
          <w:ilvl w:val="0"/>
          <w:numId w:val="1006"/>
        </w:numPr>
      </w:pPr>
      <w:r>
        <w:t xml:space="preserve">Observe os testes globais (razão de verossimilhança, Wald, escore/log-rank) — o modelo completo é melhor do que o modelo nulo?</w:t>
      </w:r>
    </w:p>
    <w:p>
      <w:pPr>
        <w:pStyle w:val="Compact"/>
        <w:numPr>
          <w:ilvl w:val="0"/>
          <w:numId w:val="1006"/>
        </w:numPr>
      </w:pPr>
      <w:r>
        <w:t xml:space="preserve">Ao comparar modelos aninhados, use</w:t>
      </w:r>
      <w:r>
        <w:t xml:space="preserve"> </w:t>
      </w:r>
      <w:r>
        <w:rPr>
          <w:rStyle w:val="VerbatimChar"/>
        </w:rPr>
        <w:t xml:space="preserve">anova(..., test = "Chisq")</w:t>
      </w:r>
      <w:r>
        <w:t xml:space="preserve"> </w:t>
      </w:r>
      <w:r>
        <w:t xml:space="preserve">— e confirme que todos foram ajustados sobre o mesmo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Antes de reportar os resultados, verifique o pressuposto de riscos proporcionais (resíduos de Schoenfeld).</w:t>
      </w:r>
    </w:p>
    <w:bookmarkEnd w:id="40"/>
    <w:bookmarkStart w:id="43" w:name="referências"/>
    <w:p>
      <w:pPr>
        <w:pStyle w:val="Heading2"/>
      </w:pPr>
      <w:r>
        <w:t xml:space="preserve">9 Referências</w:t>
      </w:r>
    </w:p>
    <w:p>
      <w:pPr>
        <w:pStyle w:val="FirstParagraph"/>
      </w:pPr>
      <w:r>
        <w:rPr>
          <w:b/>
          <w:bCs/>
        </w:rPr>
        <w:t xml:space="preserve">Disciplina:</w:t>
      </w:r>
      <w:r>
        <w:t xml:space="preserve"> </w:t>
      </w:r>
      <w:r>
        <w:t xml:space="preserve">Introdução à Análise de Sobrevivência — 2026</w:t>
      </w:r>
    </w:p>
    <w:p>
      <w:pPr>
        <w:pStyle w:val="BodyText"/>
      </w:pPr>
      <w:r>
        <w:t xml:space="preserve">CARVALHO, Marilia Sá; ANDREOZZI, Valeska Lima; CODEÇO, Claudia Torres; BARBOSA, Maria Tereza Serrano; SHIMAKURA, Silvia Emiko; CAMPOS, Dayse.</w:t>
      </w:r>
      <w:r>
        <w:t xml:space="preserve"> </w:t>
      </w:r>
      <w:r>
        <w:rPr>
          <w:b/>
          <w:bCs/>
        </w:rPr>
        <w:t xml:space="preserve">Análise de sobrevivência: teoria e aplicações em saúde</w:t>
      </w:r>
      <w:r>
        <w:t xml:space="preserve">. 2. ed. Rio de Janeiro: Editora Fiocruz, 2011.</w:t>
      </w:r>
    </w:p>
    <w:p>
      <w:pPr>
        <w:pStyle w:val="BodyText"/>
      </w:pPr>
      <w:r>
        <w:t xml:space="preserve">COLOSIMO, Enrico Antônio; GIOLO, Suely Ruiz.</w:t>
      </w:r>
      <w:r>
        <w:t xml:space="preserve"> </w:t>
      </w:r>
      <w:r>
        <w:rPr>
          <w:b/>
          <w:bCs/>
        </w:rPr>
        <w:t xml:space="preserve">Análise de sobrevivência aplicada</w:t>
      </w:r>
      <w:r>
        <w:t xml:space="preserve">. São Paulo: Edgard Blücher, 2006.</w:t>
      </w:r>
    </w:p>
    <w:p>
      <w:pPr>
        <w:pStyle w:val="BodyText"/>
      </w:pPr>
      <w:r>
        <w:t xml:space="preserve">FREITAS, Marta Afonso; COLOSIMO, Enrico Antônio.</w:t>
      </w:r>
      <w:r>
        <w:t xml:space="preserve"> </w:t>
      </w:r>
      <w:r>
        <w:rPr>
          <w:b/>
          <w:bCs/>
        </w:rPr>
        <w:t xml:space="preserve">Confiabilidade: análise de tempo de falha e testes de vida acelerados</w:t>
      </w:r>
      <w:r>
        <w:t xml:space="preserve">. Belo Horizonte: Fundação Christiano Ottoni, Escola de Engenharia da UFMG, 1997.</w:t>
      </w:r>
    </w:p>
    <w:p>
      <w:pPr>
        <w:pStyle w:val="BodyText"/>
      </w:pPr>
      <w:r>
        <w:t xml:space="preserve">HOSMER, David W.; LEMESHOW, Stanley; MAY, Susanne.</w:t>
      </w:r>
      <w:r>
        <w:t xml:space="preserve"> </w:t>
      </w:r>
      <w:r>
        <w:rPr>
          <w:b/>
          <w:bCs/>
        </w:rPr>
        <w:t xml:space="preserve">Applied survival analysis: regression modeling of time-to-event data</w:t>
      </w:r>
      <w:r>
        <w:t xml:space="preserve">. 2. ed. Hoboken, NJ: John Wiley &amp; Sons, 2008. (Wiley Series in Probability and Statistics).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Anderson Lineu</w:t>
      </w:r>
    </w:p>
    <w:p>
      <w:pPr>
        <w:pStyle w:val="BodyText"/>
      </w:pPr>
      <w:r>
        <w:t xml:space="preserve">Contato:</w:t>
      </w:r>
      <w:r>
        <w:t xml:space="preserve"> </w:t>
      </w:r>
      <w:hyperlink r:id="rId41">
        <w:r>
          <w:rPr>
            <w:rStyle w:val="Hyperlink"/>
          </w:rPr>
          <w:t xml:space="preserve">andersonlineu@gmail.com</w:t>
        </w:r>
      </w:hyperlink>
    </w:p>
    <w:p>
      <w:pPr>
        <w:pStyle w:val="BodyText"/>
      </w:pPr>
      <w:r>
        <w:t xml:space="preserve">GitHub:</w:t>
      </w:r>
      <w:r>
        <w:t xml:space="preserve"> </w:t>
      </w:r>
      <w:hyperlink r:id="rId42">
        <w:r>
          <w:rPr>
            <w:rStyle w:val="Hyperlink"/>
          </w:rPr>
          <w:t xml:space="preserve">https://github.com/andersonlineu</w:t>
        </w:r>
      </w:hyperlink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23" Target="media/rId23.png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hyperlink" Id="rId42" Target="https://github.com/andersonlineu" TargetMode="External" /><Relationship Type="http://schemas.openxmlformats.org/officeDocument/2006/relationships/hyperlink" Id="rId41" Target="mailto:andersonlineu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github.com/andersonlineu" TargetMode="External" /><Relationship Type="http://schemas.openxmlformats.org/officeDocument/2006/relationships/hyperlink" Id="rId41" Target="mailto:andersonlineu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Prático: Como Interpretar a Saída de summary(coxph()) no R</dc:title>
  <dc:creator/>
  <dc:language>pt</dc:language>
  <cp:keywords/>
  <dcterms:created xsi:type="dcterms:W3CDTF">2026-07-16T09:57:00Z</dcterms:created>
  <dcterms:modified xsi:type="dcterms:W3CDTF">2026-07-16T09:57:00Z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Um roteiro de leitura do Modelo de Riscos Proporcionais de Cox para pesquisadores</vt:lpwstr>
  </property>
  <property fmtid="{D5CDD505-2E9C-101B-9397-08002B2CF9AE}" pid="10" name="toc-title">
    <vt:lpwstr>Índice</vt:lpwstr>
  </property>
</Properties>
</file>