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Roadmap Brief</w:t>
      </w:r>
    </w:p>
    <w:p>
      <w:r>
        <w:t>This brief summarizes the proposed Q3 priorities for the checkout and payments team. It is intentionally written as a realistic source document for conversion to Markdown.</w:t>
      </w:r>
    </w:p>
    <w:p>
      <w:pPr>
        <w:pStyle w:val="Heading1"/>
      </w:pPr>
      <w:r>
        <w:t>Priorities</w:t>
      </w:r>
    </w:p>
    <w:p>
      <w:pPr>
        <w:pStyle w:val="ListBullet"/>
      </w:pPr>
      <w:r>
        <w:t>Finish the Stripe migration before the November release freeze.</w:t>
      </w:r>
    </w:p>
    <w:p>
      <w:pPr>
        <w:pStyle w:val="ListBullet"/>
      </w:pPr>
      <w:r>
        <w:t>Stabilize checkout before launching new conversion experiments.</w:t>
      </w:r>
    </w:p>
    <w:p>
      <w:pPr>
        <w:pStyle w:val="ListBullet"/>
      </w:pPr>
      <w:r>
        <w:t>Prepare subscription billing discovery, but avoid committing to dates before payments is stable.</w:t>
      </w:r>
    </w:p>
    <w:p>
      <w:pPr>
        <w:pStyle w:val="ListBullet"/>
      </w:pPr>
      <w:r>
        <w:t>Reserve 20% engineering capacity for performance work and technical debt.</w:t>
      </w:r>
    </w:p>
    <w:p>
      <w:pPr>
        <w:pStyle w:val="Heading1"/>
      </w:pPr>
      <w:r>
        <w:t>Stakeholder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Need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</w:tr>
      <w:tr>
        <w:tc>
          <w:tcPr>
            <w:tcW w:type="dxa" w:w="2880"/>
          </w:tcPr>
          <w:p>
            <w:r>
              <w:t>Leadership</w:t>
            </w:r>
          </w:p>
        </w:tc>
        <w:tc>
          <w:tcPr>
            <w:tcW w:type="dxa" w:w="2880"/>
          </w:tcPr>
          <w:p>
            <w:r>
              <w:t>Payments complete before freeze</w:t>
            </w:r>
          </w:p>
        </w:tc>
        <w:tc>
          <w:tcPr>
            <w:tcW w:type="dxa" w:w="2880"/>
          </w:tcPr>
          <w:p>
            <w:r>
              <w:t>Rushing increases production risk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Checkout improvements before September campaign</w:t>
            </w:r>
          </w:p>
        </w:tc>
        <w:tc>
          <w:tcPr>
            <w:tcW w:type="dxa" w:w="2880"/>
          </w:tcPr>
          <w:p>
            <w:r>
              <w:t>Analytics bug may skew results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Recurring billing for enterprise deals</w:t>
            </w:r>
          </w:p>
        </w:tc>
        <w:tc>
          <w:tcPr>
            <w:tcW w:type="dxa" w:w="2880"/>
          </w:tcPr>
          <w:p>
            <w:r>
              <w:t>Depends on migration completion</w:t>
            </w:r>
          </w:p>
        </w:tc>
      </w:tr>
    </w:tbl>
    <w:p>
      <w:pPr>
        <w:pStyle w:val="Heading1"/>
      </w:pPr>
      <w:r>
        <w:t>Open Questions</w:t>
      </w:r>
    </w:p>
    <w:p>
      <w:pPr>
        <w:pStyle w:val="ListBullet"/>
      </w:pPr>
      <w:r>
        <w:t>What part of the payments work can safely be handled by a contractor?</w:t>
      </w:r>
    </w:p>
    <w:p>
      <w:pPr>
        <w:pStyle w:val="ListBullet"/>
      </w:pPr>
      <w:r>
        <w:t>When can recurring billing be scoped with confidence?</w:t>
      </w:r>
    </w:p>
    <w:p>
      <w:pPr>
        <w:pStyle w:val="ListBullet"/>
      </w:pPr>
      <w:r>
        <w:t>How should checkout conversion be measured after the analytics fix?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Roadmap Brief</dc:title>
  <dc:subject>Workshop sample source document</dc:subject>
  <dc:creator>Fictional Product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