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vAlign w:val="center"/>
            <w:shd w:fill="14322A"/>
            <w:tcMar>
              <w:top w:w="550" w:type="dxa"/>
              <w:start w:w="520" w:type="dxa"/>
              <w:bottom w:w="500" w:type="dxa"/>
              <w:end w:w="5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60"/>
              <w:jc w:val="center"/>
            </w:pPr>
            <w:r>
              <w:rPr>
                <w:rFonts w:ascii="Calibri" w:hAnsi="Calibri"/>
                <w:b/>
                <w:i w:val="0"/>
                <w:color w:val="B8863C"/>
                <w:sz w:val="26"/>
              </w:rPr>
              <w:t>⌂  ALUGUEL</w:t>
            </w:r>
          </w:p>
          <w:p>
            <w:pPr>
              <w:spacing w:after="360"/>
              <w:jc w:val="center"/>
            </w:pPr>
            <w:r>
              <w:rPr>
                <w:rFonts w:ascii="Calibri" w:hAnsi="Calibri"/>
                <w:b/>
                <w:i w:val="0"/>
                <w:color w:val="B8863C"/>
                <w:sz w:val="18"/>
              </w:rPr>
              <w:t>MINI MANUAL DE IDENTIDADE COMERCIAL</w:t>
            </w:r>
          </w:p>
          <w:p>
            <w:pPr>
              <w:spacing w:after="2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8"/>
              </w:rPr>
              <w:t>Aluguel</w:t>
            </w:r>
          </w:p>
          <w:p>
            <w:pPr>
              <w:spacing w:after="60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DCE8E2"/>
                <w:sz w:val="28"/>
              </w:rPr>
              <w:t>Uma identidade clara para organizar, apresentar e vender a gestão de aluguéis.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B8863C"/>
                <w:sz w:val="20"/>
              </w:rPr>
              <w:t>———————————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B9CCC3"/>
                <w:sz w:val="18"/>
              </w:rPr>
              <w:t>Versão 1.0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B9CCC3"/>
                <w:sz w:val="18"/>
              </w:rPr>
              <w:t>22 de julho de 2026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B9CCC3"/>
                <w:sz w:val="18"/>
              </w:rPr>
              <w:t>Produto: Comercial 1.0</w:t>
            </w:r>
          </w:p>
        </w:tc>
      </w:tr>
    </w:tbl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01  ESSÊNCIA DA MARCA</w:t>
      </w:r>
    </w:p>
    <w:p>
      <w:pPr>
        <w:pStyle w:val="Heading1"/>
      </w:pPr>
      <w:r>
        <w:t>Cada aluguel no lugar certo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Clareza operacional para pequenos locadores que querem trocar planilhas e conversas dispersas por uma rotina centralizada.</w:t>
      </w:r>
    </w:p>
    <w:p>
      <w:r>
        <w:t>Aluguel é uma plataforma de gestão assistida que reúne imóveis, inquilinos, contratos, recebimentos, energia, despesas e interessados. A comunicação deve transmitir controle, proximidade e confiança — sem prometer automações ou resultados que o produto não executa.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B8863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1E4C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Proposta de valor principal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Tenha cada imóvel, contrato, cobrança e documento no lugar certo — e saiba o que entrou, o que falta receber e o que exige atenção.</w:t>
            </w:r>
          </w:p>
        </w:tc>
      </w:tr>
    </w:tbl>
    <w:p>
      <w:pPr>
        <w:pStyle w:val="Heading2"/>
      </w:pPr>
      <w:r>
        <w:t>Personalidade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F1E4C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C631F"/>
                <w:sz w:val="17"/>
              </w:rPr>
              <w:t>Confiável</w:t>
            </w:r>
          </w:p>
        </w:tc>
        <w:tc>
          <w:tcPr>
            <w:tcW w:type="dxa" w:w="2438"/>
            <w:shd w:fill="F1E4C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C631F"/>
                <w:sz w:val="17"/>
              </w:rPr>
              <w:t>Direta</w:t>
            </w:r>
          </w:p>
        </w:tc>
        <w:tc>
          <w:tcPr>
            <w:tcW w:type="dxa" w:w="2438"/>
            <w:shd w:fill="F1E4C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C631F"/>
                <w:sz w:val="17"/>
              </w:rPr>
              <w:t>Organizada</w:t>
            </w:r>
          </w:p>
        </w:tc>
        <w:tc>
          <w:tcPr>
            <w:tcW w:type="dxa" w:w="2438"/>
            <w:shd w:fill="F1E4C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C631F"/>
                <w:sz w:val="17"/>
              </w:rPr>
              <w:t>Próxima</w:t>
            </w:r>
          </w:p>
        </w:tc>
      </w:tr>
    </w:tbl>
    <w:p>
      <w:pPr>
        <w:pStyle w:val="Heading2"/>
      </w:pPr>
      <w:r>
        <w:t>Posicionamento</w:t>
      </w:r>
    </w:p>
    <w:p>
      <w:r>
        <w:t>Para pequenos locadores que administram a própria carteira, Aluguel é a plataforma de gestão de locações que centraliza a operação da casa vaga ao pagamento recebido, com visão financeira, atalhos manuais de WhatsApp e PIX e portal do inquilino.</w:t>
      </w: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02  MARCA GRÁFICA</w:t>
      </w:r>
    </w:p>
    <w:p>
      <w:pPr>
        <w:pStyle w:val="Heading1"/>
      </w:pPr>
      <w:r>
        <w:t>Símbolo que nasce do produto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A casa geométrica usada no aplicativo permanece como elemento principal. Nenhum novo símbolo foi inventado para os materiais comerciais.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876"/>
            <w:shd w:fill="14322A"/>
            <w:tcMar>
              <w:top w:w="220" w:type="dxa"/>
              <w:start w:w="220" w:type="dxa"/>
              <w:bottom w:w="20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imbolo-dourad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Versão sobre fundo escuro</w:t>
            </w:r>
          </w:p>
        </w:tc>
        <w:tc>
          <w:tcPr>
            <w:tcW w:type="dxa" w:w="4876"/>
            <w:shd w:fill="F4F6F3"/>
            <w:tcMar>
              <w:top w:w="220" w:type="dxa"/>
              <w:start w:w="220" w:type="dxa"/>
              <w:bottom w:w="20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imbolo-verd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Versão sobre fundo claro</w:t>
            </w:r>
          </w:p>
        </w:tc>
      </w:tr>
    </w:tbl>
    <w:p>
      <w:pPr>
        <w:pStyle w:val="Heading2"/>
      </w:pPr>
      <w:r>
        <w:t>Área de proteção</w:t>
      </w:r>
    </w:p>
    <w:p>
      <w:r>
        <w:t>Mantenha ao redor do símbolo uma área livre equivalente à largura de uma de suas janelas. Em lockups, preserve a relação de escala fornecida nos arquivos SVG.</w:t>
      </w:r>
    </w:p>
    <w:p>
      <w:pPr>
        <w:pStyle w:val="Heading2"/>
      </w:pPr>
      <w:r>
        <w:t>Usos incorretos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Não distorcer, inclinar ou alterar a proporção do símbolo.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Não trocar as cores por efeitos, gradientes ou combinações fora da paleta.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Não inserir detalhes, setas ou elementos que sugiram funcionalidades inexistentes.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Não aplicar sobre fundos com pouco contraste.</w:t>
      </w: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03  PALETA</w:t>
      </w:r>
    </w:p>
    <w:p>
      <w:pPr>
        <w:pStyle w:val="Heading1"/>
      </w:pPr>
      <w:r>
        <w:t>Verde de controle, latão de ação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A paleta vem diretamente do aplicativo: verde-escuro para confiança, tons de papel para leveza e latão para orientar a 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1814"/>
        <w:gridCol w:w="5329"/>
      </w:tblGrid>
      <w:tr>
        <w:trPr>
          <w:tblHeader w:val="true"/>
        </w:trPr>
        <w:tc>
          <w:tcPr>
            <w:tcW w:type="dxa" w:w="3251"/>
            <w:shd w:fill="1432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Cor</w:t>
            </w:r>
          </w:p>
        </w:tc>
        <w:tc>
          <w:tcPr>
            <w:tcW w:type="dxa" w:w="3251"/>
            <w:shd w:fill="1432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3251"/>
            <w:shd w:fill="1432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2154"/>
            <w:shd w:fill="14322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Verde capa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#14322A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Fundos, navegação, autoridade</w:t>
            </w:r>
          </w:p>
        </w:tc>
      </w:tr>
      <w:tr>
        <w:tc>
          <w:tcPr>
            <w:tcW w:type="dxa" w:w="2154"/>
            <w:shd w:fill="1F433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Verde apoio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#1F4339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Profundidade e superfícies escuras</w:t>
            </w:r>
          </w:p>
        </w:tc>
      </w:tr>
      <w:tr>
        <w:tc>
          <w:tcPr>
            <w:tcW w:type="dxa" w:w="2154"/>
            <w:shd w:fill="B8863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Latão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#B8863C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CTA, foco e acentos</w:t>
            </w:r>
          </w:p>
        </w:tc>
      </w:tr>
      <w:tr>
        <w:tc>
          <w:tcPr>
            <w:tcW w:type="dxa" w:w="2154"/>
            <w:shd w:fill="F4F6F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Papel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#F4F6F3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Fundo principal</w:t>
            </w:r>
          </w:p>
        </w:tc>
      </w:tr>
      <w:tr>
        <w:tc>
          <w:tcPr>
            <w:tcW w:type="dxa" w:w="2154"/>
            <w:shd w:fill="1C26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Tinta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#1C2620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Texto principal</w:t>
            </w:r>
          </w:p>
        </w:tc>
      </w:tr>
      <w:tr>
        <w:tc>
          <w:tcPr>
            <w:tcW w:type="dxa" w:w="2154"/>
            <w:shd w:fill="A23B2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Ferrugem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#A23B2E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Atrasos e alertas críticos</w:t>
            </w:r>
          </w:p>
        </w:tc>
      </w:tr>
      <w:tr>
        <w:tc>
          <w:tcPr>
            <w:tcW w:type="dxa" w:w="2154"/>
            <w:shd w:fill="3E6B8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Manutenção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#3E6B8A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Status operacional</w:t>
            </w:r>
          </w:p>
        </w:tc>
      </w:tr>
      <w:tr>
        <w:tc>
          <w:tcPr>
            <w:tcW w:type="dxa" w:w="2154"/>
            <w:shd w:fill="DDE4D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Linha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8"/>
              </w:rPr>
              <w:t>#DDE4DE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Divisórias e bordas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3E6B8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DCE7E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Regra de contraste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Textos pequenos devem usar Tinta sobre Papel ou branco sobre Verde capa. O latão funciona melhor como destaque, não como texto longo.</w:t>
            </w:r>
          </w:p>
        </w:tc>
      </w:tr>
    </w:tbl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04  TIPOGRAFIA</w:t>
      </w:r>
    </w:p>
    <w:p>
      <w:pPr>
        <w:pStyle w:val="Heading1"/>
      </w:pPr>
      <w:r>
        <w:t>Tecnologia com leitura humana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A combinação tipográfica do produto deve ser preservada na comunicação digital.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350"/>
      </w:tblGrid>
      <w:tr>
        <w:tc>
          <w:tcPr>
            <w:tcW w:type="dxa" w:w="4876"/>
            <w:shd w:fill="14322A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Space Grotesk</w:t>
            </w:r>
          </w:p>
        </w:tc>
        <w:tc>
          <w:tcPr>
            <w:tcW w:type="dxa" w:w="4876"/>
            <w:shd w:fill="F1E4C8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Títulos, chamadas, números de impacto e nome Aluguel.</w:t>
            </w:r>
          </w:p>
        </w:tc>
      </w:tr>
      <w:tr>
        <w:tc>
          <w:tcPr>
            <w:tcW w:type="dxa" w:w="4876"/>
            <w:shd w:fill="F4F6F3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22"/>
              </w:rPr>
              <w:t>IBM Plex Sans</w:t>
            </w:r>
          </w:p>
        </w:tc>
        <w:tc>
          <w:tcPr>
            <w:tcW w:type="dxa" w:w="4876"/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Textos, legendas, formulários, FAQs e documentos digitais.</w:t>
            </w:r>
          </w:p>
        </w:tc>
      </w:tr>
      <w:tr>
        <w:tc>
          <w:tcPr>
            <w:tcW w:type="dxa" w:w="4876"/>
            <w:shd w:fill="F4F6F3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22"/>
              </w:rPr>
              <w:t>IBM Plex Mono</w:t>
            </w:r>
          </w:p>
        </w:tc>
        <w:tc>
          <w:tcPr>
            <w:tcW w:type="dxa" w:w="4876"/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Valores, datas, chips, versões e informações operacionais.</w:t>
            </w:r>
          </w:p>
        </w:tc>
      </w:tr>
    </w:tbl>
    <w:p>
      <w:pPr>
        <w:pStyle w:val="Heading2"/>
      </w:pPr>
      <w:r>
        <w:t>Fallbacks</w:t>
      </w:r>
    </w:p>
    <w:p>
      <w:r>
        <w:t>Quando as fontes web não estiverem disponíveis, use Calibri ou Arial em documentos de escritório. Evite fontes decorativas, manuscritas ou excessivamente condensadas.</w:t>
      </w: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05  VOZ E MENSAGEM</w:t>
      </w:r>
    </w:p>
    <w:p>
      <w:pPr>
        <w:pStyle w:val="Heading1"/>
      </w:pPr>
      <w:r>
        <w:t>Fale como quem organiza a rotina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Frases curtas, benefícios concretos e transparência sobre o que depende de ação humana.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876"/>
            <w:shd w:fill="EAF5ED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b/>
                <w:i w:val="0"/>
                <w:color w:val="21613C"/>
                <w:sz w:val="24"/>
              </w:rPr>
              <w:t>Preferir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“Veja o que falta receber.”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“Cobrança manual com mensagem pronta.”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“Dados separados por conta.”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“Portal de consulta para o inquilino.”</w:t>
            </w:r>
          </w:p>
        </w:tc>
        <w:tc>
          <w:tcPr>
            <w:tcW w:type="dxa" w:w="4876"/>
            <w:shd w:fill="F4DCD7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b/>
                <w:i w:val="0"/>
                <w:color w:val="A23B2E"/>
                <w:sz w:val="24"/>
              </w:rPr>
              <w:t>Evitar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“Acabe com a inadimplência.”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“Cobrança 100% automática.”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“Conciliação bancária.”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“Garantia de conformidade LGPD.”</w:t>
            </w:r>
          </w:p>
        </w:tc>
      </w:tr>
    </w:tbl>
    <w:p>
      <w:pPr>
        <w:pStyle w:val="Heading2"/>
      </w:pPr>
      <w:r>
        <w:t>Hierarquia de mensagens</w:t>
      </w:r>
    </w:p>
    <w:p>
      <w:pPr>
        <w:pStyle w:val="ListNumber"/>
      </w:pPr>
      <w:r>
        <w:rPr>
          <w:rFonts w:ascii="Calibri" w:hAnsi="Calibri"/>
          <w:b w:val="0"/>
          <w:i w:val="0"/>
        </w:rPr>
        <w:t>Controle: seus aluguéis em uma visão única.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Rotina: imóveis, contratos, cobranças e documentos conectados.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Decisão: previsto, recebido, pendências, ocupação e despesas.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Relacionamento: atalhos manuais para WhatsApp/PIX e portal do inquilino.</w:t>
      </w: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06  SISTEMA VISUAL</w:t>
      </w:r>
    </w:p>
    <w:p>
      <w:pPr>
        <w:pStyle w:val="Heading1"/>
      </w:pPr>
      <w:r>
        <w:t>Do produto para a comunicação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Materiais comerciais devem parecer uma extensão natural do aplicativo.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Fundos em Papel com blocos Verde capa; cartões brancos com borda Linha.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Cantos entre 16 e 22 px no digital; sombras suaves e pouco contrastadas.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Chips arredondados para status e categorias; números em IBM Plex Mono.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Fotografias e mockups sempre acompanhados de telas reais ou demonstrativas renderizadas pelo produto.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Ferrugem apenas para atraso/risco; azul apenas para manutenção ou contexto operacional.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B8863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4F6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Direção de arte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Premium não significa ornamental. O sistema visual deve priorizar leitura, hierarquia, espaço e prova real do produto.</w:t>
            </w:r>
          </w:p>
        </w:tc>
      </w:tr>
    </w:tbl>
    <w:p>
      <w:pPr>
        <w:pStyle w:val="Heading2"/>
      </w:pPr>
      <w:r>
        <w:t>Composição recomendada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</w:tblGrid>
      <w:tr>
        <w:tc>
          <w:tcPr>
            <w:tcW w:type="dxa" w:w="3251"/>
            <w:shd w:fill="F4F6F3"/>
            <w:tcMar>
              <w:top w:w="190" w:type="dxa"/>
              <w:start w:w="170" w:type="dxa"/>
              <w:bottom w:w="19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22"/>
              </w:rPr>
              <w:t>1  Contexto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Nomeie a dor sem exagero.</w:t>
            </w:r>
          </w:p>
        </w:tc>
        <w:tc>
          <w:tcPr>
            <w:tcW w:type="dxa" w:w="3251"/>
            <w:shd w:fill="F1E4C8"/>
            <w:tcMar>
              <w:top w:w="190" w:type="dxa"/>
              <w:start w:w="170" w:type="dxa"/>
              <w:bottom w:w="19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22"/>
              </w:rPr>
              <w:t>2  Produto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Mostre a tela que resolve.</w:t>
            </w:r>
          </w:p>
        </w:tc>
        <w:tc>
          <w:tcPr>
            <w:tcW w:type="dxa" w:w="3251"/>
            <w:shd w:fill="14322A"/>
            <w:tcMar>
              <w:top w:w="190" w:type="dxa"/>
              <w:start w:w="170" w:type="dxa"/>
              <w:bottom w:w="19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  Ação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DCE8E2"/>
                <w:sz w:val="18"/>
              </w:rPr>
              <w:t>Finalize com CTA único.</w:t>
            </w:r>
          </w:p>
        </w:tc>
      </w:tr>
    </w:tbl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07  CHAMADAS E CTAS</w:t>
      </w:r>
    </w:p>
    <w:p>
      <w:pPr>
        <w:pStyle w:val="Heading1"/>
      </w:pPr>
      <w:r>
        <w:t>Uma ação principal por peça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A demonstração é o próximo passo comercial principal; criar a conta gratuita é a alternativa de autosserviço.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350"/>
      </w:tblGrid>
      <w:tr>
        <w:tc>
          <w:tcPr>
            <w:tcW w:type="dxa" w:w="4876"/>
            <w:shd w:fill="14322A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CTA principal</w:t>
            </w:r>
          </w:p>
        </w:tc>
        <w:tc>
          <w:tcPr>
            <w:tcW w:type="dxa" w:w="4876"/>
            <w:shd w:fill="14322A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Solicitar uma demonstração</w:t>
            </w:r>
          </w:p>
        </w:tc>
      </w:tr>
      <w:tr>
        <w:tc>
          <w:tcPr>
            <w:tcW w:type="dxa" w:w="4876"/>
            <w:shd w:fill="F1E4C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18"/>
              </w:rPr>
              <w:t>CTA secundário</w:t>
            </w:r>
          </w:p>
        </w:tc>
        <w:tc>
          <w:tcPr>
            <w:tcW w:type="dxa" w:w="4876"/>
            <w:shd w:fill="F1E4C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Começar grátis</w:t>
            </w:r>
          </w:p>
        </w:tc>
      </w:tr>
      <w:tr>
        <w:tc>
          <w:tcPr>
            <w:tcW w:type="dxa" w:w="4876"/>
            <w:shd w:fill="F4F6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18"/>
              </w:rPr>
              <w:t>Microcopy</w:t>
            </w:r>
          </w:p>
        </w:tc>
        <w:tc>
          <w:tcPr>
            <w:tcW w:type="dxa" w:w="4876"/>
            <w:shd w:fill="F4F6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4322A"/>
                <w:sz w:val="21"/>
              </w:rPr>
              <w:t>Demonstração guiada. Sem compromisso. Condições sob consulta.</w:t>
            </w:r>
          </w:p>
        </w:tc>
      </w:tr>
    </w:tbl>
    <w:p>
      <w:pPr>
        <w:pStyle w:val="Heading2"/>
      </w:pPr>
      <w:r>
        <w:t>Destino oficial</w:t>
      </w:r>
    </w:p>
    <w:p>
      <w:r>
        <w:t>https://aluguel-casas-anderton.netlify.app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A23B2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4DCD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WhatsApp pendente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O botão usa e-mail como fallback funcional até a confirmação do número comercial com DDD. Nenhum número fictício deve ser publicado.</w:t>
            </w:r>
          </w:p>
        </w:tc>
      </w:tr>
    </w:tbl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08  GOVERNANÇA</w:t>
      </w:r>
    </w:p>
    <w:p>
      <w:pPr>
        <w:pStyle w:val="Heading1"/>
      </w:pPr>
      <w:r>
        <w:t>Consistência antes de velocidade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Toda peça deve passar por quatro verificações antes de publicação.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B8863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4F6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Verdade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A funcionalidade aparece no produto e foi validada?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B8863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4F6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Privacidade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A tela usa dados demonstrativos e não expõe pessoas reais?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B8863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4F6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Legibilidade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Texto, CTA, contraste e QR Code funcionam no tamanho final?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B8863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4F6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Destino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Links, e-mail, WhatsApp e URL estão corretos?</w:t>
            </w:r>
          </w:p>
        </w:tc>
      </w:tr>
    </w:tbl>
    <w:p>
      <w:pPr>
        <w:spacing w:after="20"/>
      </w:pPr>
    </w:p>
    <w:p>
      <w:pPr>
        <w:pStyle w:val="Heading2"/>
      </w:pPr>
      <w:r>
        <w:t>Arquivos-base</w:t>
      </w:r>
    </w:p>
    <w:p>
      <w:pPr>
        <w:pStyle w:val="ListBullet"/>
      </w:pPr>
      <w:r>
        <w:rPr>
          <w:rFonts w:ascii="Calibri" w:hAnsi="Calibri"/>
          <w:b w:val="0"/>
          <w:i w:val="0"/>
        </w:rPr>
        <w:t>SVGs do símbolo e lockups: versões editáveis para web e design.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brand-tokens.css / brand-tokens.json: referência técnica da identidade.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Este manual em DOCX e PDF: orientação de uso e governança.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README.md: índice dos arquivos e data de criação.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504"/>
      </w:tblGrid>
      <w:tr>
        <w:trPr>
          <w:trHeight w:val="60" w:hRule="exact"/>
        </w:trPr>
        <w:tc>
          <w:tcPr>
            <w:tcW w:type="dxa" w:w="4876"/>
            <w:shd w:fill="B8863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4F6F3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jc w:val="center"/>
      </w:pPr>
      <w:r>
        <w:rPr>
          <w:rFonts w:ascii="Calibri" w:hAnsi="Calibri"/>
          <w:b/>
          <w:i w:val="0"/>
          <w:color w:val="5C6B63"/>
          <w:sz w:val="18"/>
        </w:rPr>
        <w:t>Aluguel  •  andertonaluguel@gmail.com  •  22 de julho de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5C6B63"/>
        <w:sz w:val="16"/>
      </w:rPr>
      <w:t xml:space="preserve">ALUGUEL  •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b/>
        <w:color w:val="8C631F"/>
        <w:sz w:val="16"/>
      </w:rPr>
      <w:t>ALUGUEL  /  GESTÃO DE ALUGUÉIS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  <w:jc w:val="left"/>
    </w:pPr>
    <w:rPr>
      <w:rFonts w:ascii="Calibri" w:hAnsi="Calibri"/>
      <w:color w:val="1C26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8C63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8C63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8C63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32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