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pPr>
      <w:r>
        <w:rPr>
          <w:rtl w:val="0"/>
          <w:lang w:val="en-US"/>
        </w:rPr>
        <w:t>Project overview:</w:t>
      </w:r>
    </w:p>
    <w:p>
      <w:pPr>
        <w:pStyle w:val="Body"/>
      </w:pPr>
      <w:r>
        <w:rPr>
          <w:rtl w:val="0"/>
          <w:lang w:val="fr-FR"/>
        </w:rPr>
        <w:t>A review article for Glaucoma Today on LVR patient questionnaires</w:t>
      </w:r>
    </w:p>
    <w:p>
      <w:pPr>
        <w:pStyle w:val="Body"/>
      </w:pPr>
      <w:r>
        <w:rPr>
          <w:rtl w:val="0"/>
          <w:lang w:val="en-US"/>
        </w:rPr>
        <w:t>Should cover:</w:t>
      </w:r>
    </w:p>
    <w:p>
      <w:pPr>
        <w:pStyle w:val="List Paragraph"/>
        <w:numPr>
          <w:ilvl w:val="0"/>
          <w:numId w:val="2"/>
        </w:numPr>
        <w:rPr>
          <w:lang w:val="en-US"/>
        </w:rPr>
      </w:pPr>
      <w:r>
        <w:rPr>
          <w:rtl w:val="0"/>
          <w:lang w:val="en-US"/>
        </w:rPr>
        <w:t xml:space="preserve">What tools exist, </w:t>
      </w:r>
    </w:p>
    <w:p>
      <w:pPr>
        <w:pStyle w:val="List Paragraph"/>
        <w:numPr>
          <w:ilvl w:val="0"/>
          <w:numId w:val="2"/>
        </w:numPr>
        <w:rPr>
          <w:lang w:val="en-US"/>
        </w:rPr>
      </w:pPr>
      <w:r>
        <w:rPr>
          <w:rtl w:val="0"/>
          <w:lang w:val="en-US"/>
        </w:rPr>
        <w:t>How good these two questions are as screeners</w:t>
      </w:r>
    </w:p>
    <w:p>
      <w:pPr>
        <w:pStyle w:val="List Paragraph"/>
        <w:numPr>
          <w:ilvl w:val="0"/>
          <w:numId w:val="2"/>
        </w:numPr>
        <w:rPr>
          <w:lang w:val="en-US"/>
        </w:rPr>
      </w:pPr>
      <w:r>
        <w:rPr>
          <w:rtl w:val="0"/>
          <w:lang w:val="en-US"/>
        </w:rPr>
        <w:t>How to use them in a clinic workflow</w:t>
      </w:r>
    </w:p>
    <w:p>
      <w:pPr>
        <w:pStyle w:val="Body"/>
      </w:pPr>
      <w:r>
        <w:rPr>
          <w:rtl w:val="0"/>
          <w:lang w:val="en-US"/>
        </w:rPr>
        <w:t>Objective: to provide the evidence base for how the LVR clinic is about to screen patients</w:t>
      </w:r>
    </w:p>
    <w:p>
      <w:pPr>
        <w:pStyle w:val="Body"/>
      </w:pPr>
    </w:p>
    <w:p>
      <w:pPr>
        <w:pStyle w:val="Body"/>
      </w:pPr>
      <w:r>
        <w:rPr>
          <w:rtl w:val="0"/>
        </w:rPr>
        <w:t>PICO</w:t>
      </w:r>
    </w:p>
    <w:p>
      <w:pPr>
        <w:pStyle w:val="Body"/>
      </w:pPr>
      <w:r>
        <w:rPr>
          <w:rtl w:val="0"/>
          <w:lang w:val="en-US"/>
        </w:rPr>
        <w:t>Population: adults seen in ophthalmology or glaucoma clinics (potential LVR candidates)</w:t>
      </w:r>
    </w:p>
    <w:p>
      <w:pPr>
        <w:pStyle w:val="Body"/>
      </w:pPr>
      <w:r>
        <w:rPr>
          <w:rtl w:val="0"/>
          <w:lang w:val="en-US"/>
        </w:rPr>
        <w:t>Index test: brief self-report screening items (2 questions: restaurant menu and keyboard)</w:t>
      </w:r>
    </w:p>
    <w:p>
      <w:pPr>
        <w:pStyle w:val="Body"/>
      </w:pPr>
      <w:r>
        <w:rPr>
          <w:rtl w:val="0"/>
          <w:lang w:val="en-US"/>
        </w:rPr>
        <w:t>Comparator: Measured visual acuity and visual field, full-length LVR questionnaires, clinician-judged LVR need</w:t>
      </w:r>
    </w:p>
    <w:p>
      <w:pPr>
        <w:pStyle w:val="Body"/>
      </w:pPr>
      <w:r>
        <w:rPr>
          <w:rtl w:val="0"/>
          <w:lang w:val="en-US"/>
        </w:rPr>
        <w:t>Outcome: Sens., spec., AUC, time to administer, feasibility in a technician work-up</w:t>
      </w:r>
    </w:p>
    <w:p>
      <w:pPr>
        <w:pStyle w:val="Body"/>
      </w:pPr>
    </w:p>
    <w:p>
      <w:pPr>
        <w:pStyle w:val="Body"/>
      </w:pPr>
      <w:r>
        <w:rPr>
          <w:rtl w:val="0"/>
          <w:lang w:val="en-US"/>
        </w:rPr>
        <w:t>Lit review strategy:</w:t>
      </w:r>
    </w:p>
    <w:p>
      <w:pPr>
        <w:pStyle w:val="Body"/>
      </w:pPr>
      <w:r>
        <w:rPr>
          <w:rtl w:val="0"/>
          <w:lang w:val="en-US"/>
        </w:rPr>
        <w:t>Narrative review (? no meta-analysis)</w:t>
      </w:r>
    </w:p>
    <w:p>
      <w:pPr>
        <w:pStyle w:val="Body"/>
      </w:pPr>
      <w:r>
        <w:rPr>
          <w:rtl w:val="0"/>
          <w:lang w:val="en-US"/>
        </w:rPr>
        <w:t>Databases: PubMed/MEDLINE &amp; Scopus (would be enough?)</w:t>
      </w:r>
    </w:p>
    <w:p>
      <w:pPr>
        <w:pStyle w:val="Body"/>
      </w:pPr>
    </w:p>
    <w:p>
      <w:pPr>
        <w:pStyle w:val="Body"/>
      </w:pPr>
      <w:r>
        <w:rPr>
          <w:shd w:val="clear" w:color="auto" w:fill="ffff00"/>
          <w:rtl w:val="0"/>
          <w:lang w:val="en-US"/>
        </w:rPr>
        <w:t>String for PubMed:</w:t>
      </w:r>
    </w:p>
    <w:p>
      <w:pPr>
        <w:pStyle w:val="Body"/>
        <w:spacing w:line="240" w:lineRule="auto"/>
      </w:pPr>
      <w:r>
        <w:rPr>
          <w:rtl w:val="0"/>
          <w:lang w:val="en-US"/>
        </w:rPr>
        <w:t>("Vision, Low"[Majr] OR "low vision"[ti] OR "visual impairment"[ti] OR "legal blindness"[tiab] OR "legally blind"[tiab])</w:t>
      </w:r>
    </w:p>
    <w:p>
      <w:pPr>
        <w:pStyle w:val="Body"/>
        <w:spacing w:line="240" w:lineRule="auto"/>
      </w:pPr>
      <w:r>
        <w:rPr>
          <w:rtl w:val="0"/>
          <w:lang w:val="en-US"/>
        </w:rPr>
        <w:t>AND</w:t>
      </w:r>
    </w:p>
    <w:p>
      <w:pPr>
        <w:pStyle w:val="Body"/>
        <w:spacing w:line="240" w:lineRule="auto"/>
      </w:pPr>
      <w:r>
        <w:rPr>
          <w:rtl w:val="0"/>
          <w:lang w:val="en-US"/>
        </w:rPr>
        <w:t>(questionnaire*[tiab] OR "self-report*"[tiab] OR "screening question*"[tiab] OR "single question"[tiab] OR survey[ti])</w:t>
      </w:r>
    </w:p>
    <w:p>
      <w:pPr>
        <w:pStyle w:val="Body"/>
        <w:spacing w:line="240" w:lineRule="auto"/>
      </w:pPr>
      <w:r>
        <w:rPr>
          <w:rtl w:val="0"/>
          <w:lang w:val="en-US"/>
        </w:rPr>
        <w:t>AND</w:t>
      </w:r>
    </w:p>
    <w:p>
      <w:pPr>
        <w:pStyle w:val="Body"/>
        <w:spacing w:line="240" w:lineRule="auto"/>
      </w:pPr>
      <w:r>
        <w:rPr>
          <w:rtl w:val="0"/>
          <w:lang w:val="en-US"/>
        </w:rPr>
        <w:t>("Sensitivity and Specificity"[Mesh] OR "ROC Curve"[Mesh] OR sensitivity[tiab] OR specificity[tiab] OR "area under the curve"[tiab] OR "diagnostic accuracy"[tiab])</w:t>
      </w:r>
    </w:p>
    <w:p>
      <w:pPr>
        <w:pStyle w:val="Body"/>
        <w:spacing w:line="240" w:lineRule="auto"/>
      </w:pPr>
      <w:r>
        <w:rPr>
          <w:rtl w:val="0"/>
          <w:lang w:val="en-US"/>
        </w:rPr>
        <w:t>AND (english[la] OR french[la])</w:t>
      </w:r>
    </w:p>
    <w:p>
      <w:pPr>
        <w:pStyle w:val="Body"/>
        <w:spacing w:line="240" w:lineRule="auto"/>
      </w:pPr>
      <w:r>
        <w:rPr>
          <w:rtl w:val="0"/>
          <w:lang w:val="en-US"/>
        </w:rPr>
        <w:t>AND 2000:3000[dp]</w:t>
      </w:r>
    </w:p>
    <w:p>
      <w:pPr>
        <w:pStyle w:val="Body"/>
        <w:spacing w:line="240" w:lineRule="auto"/>
      </w:pPr>
      <w:r>
        <w:rPr>
          <w:rtl w:val="0"/>
          <w:lang w:val="en-US"/>
        </w:rPr>
        <w:t>NOT (child*[ti] OR pediatric[ti] OR paediatric[ti])</w:t>
      </w:r>
    </w:p>
    <w:p>
      <w:pPr>
        <w:pStyle w:val="Body"/>
      </w:pPr>
      <w:r>
        <w:rPr>
          <w:shd w:val="clear" w:color="auto" w:fill="ffff00"/>
          <w:rtl w:val="0"/>
          <w:lang w:val="en-US"/>
        </w:rPr>
        <w:t>String for Scopus:</w:t>
      </w:r>
      <w:r>
        <w:rPr>
          <w:rtl w:val="0"/>
        </w:rPr>
        <w:t xml:space="preserve"> </w:t>
      </w:r>
    </w:p>
    <w:p>
      <w:pPr>
        <w:pStyle w:val="Body"/>
      </w:pPr>
      <w:r>
        <w:rPr>
          <w:rtl w:val="0"/>
          <w:lang w:val="en-US"/>
        </w:rPr>
        <w:t>( TITLE("low vision" OR "visual impairment") OR TITLE-ABS-KEY("legal blindness" OR "legally blind") ) AND TITLE-ABS-KEY(questionnaire* OR "self-report*" OR "screening question*" OR "single question") AND TITLE-ABS-KEY(sensitivity OR specificity OR "ROC curve" OR "area under the curve" OR "diagnostic accuracy") AND PUBYEAR &gt; 1999 AND NOT TITLE(child* OR pediatric OR paediatric) AND ( LIMIT-TO ( LANGUAGE,"English" ) OR LIMIT-TO ( LANGUAGE,"French" ) )</w:t>
      </w:r>
    </w:p>
    <w:p>
      <w:pPr>
        <w:pStyle w:val="Body"/>
      </w:pPr>
      <w:r>
        <w:rPr>
          <w:rFonts w:ascii="Aptos" w:cs="Aptos" w:hAnsi="Aptos" w:eastAsia="Aptos"/>
          <w:b w:val="1"/>
          <w:bCs w:val="1"/>
          <w:rtl w:val="0"/>
          <w:lang w:val="en-US"/>
        </w:rPr>
        <w:t>Methods</w:t>
      </w:r>
    </w:p>
    <w:p>
      <w:pPr>
        <w:pStyle w:val="Body"/>
      </w:pPr>
      <w:r>
        <w:rPr>
          <w:rStyle w:val="Emphasis A"/>
          <w:rtl w:val="0"/>
          <w:lang w:val="en-US"/>
        </w:rPr>
        <w:t>Search strategy</w:t>
      </w:r>
    </w:p>
    <w:p>
      <w:pPr>
        <w:pStyle w:val="Body"/>
      </w:pPr>
      <w:r>
        <w:rPr>
          <w:rtl w:val="0"/>
          <w:lang w:val="en-US"/>
        </w:rPr>
        <w:t xml:space="preserve">A structured literature search was conducted on 4 October 2026 in PubMed (including MEDLINE) and Scopus. The search combined three concepts: (1) low vision, visual impairment and legal blindness; (2) questionnaires, self-report measures and screening questions; and (3) diagnostic accuracy, including sensitivity, specificity, receiver operating characteristic curves and area under the curve. In PubMed, Medical Subject Headings (MeSH) were combined with title and abstract keywords. In Scopus, equivalent keywords were searched in article titles, abstracts and keywords. Searches were limited to publications from 2000 onward in English or French, and studies with paediatric populations in the title were excluded. </w:t>
      </w:r>
    </w:p>
    <w:p>
      <w:pPr>
        <w:pStyle w:val="Body"/>
      </w:pPr>
      <w:r>
        <w:rPr>
          <w:rStyle w:val="Emphasis A"/>
          <w:rtl w:val="0"/>
          <w:lang w:val="en-US"/>
        </w:rPr>
        <w:t>Record management</w:t>
      </w:r>
    </w:p>
    <w:p>
      <w:pPr>
        <w:pStyle w:val="Body"/>
      </w:pPr>
      <w:r>
        <w:rPr>
          <w:rtl w:val="0"/>
          <w:lang w:val="en-US"/>
        </w:rPr>
        <w:t>Records were imported into Zotero (version 7) for reference management. Records that could not be imported directly were retrieved by digital object identifier or entered manually from the database export. Duplicate records were identified using Zotero's duplicate detection, and each potential duplicate was verified manually by title, publication year and journal before merging. The search identified 166 records (PubMed, n = 78; Scopus, n = 88). After removal of 39 duplicates, 127 unique records remained for screening.</w:t>
      </w:r>
    </w:p>
    <w:p>
      <w:pPr>
        <w:pStyle w:val="Body"/>
      </w:pPr>
      <w:r>
        <w:rPr>
          <w:rStyle w:val="Emphasis A"/>
          <w:rtl w:val="0"/>
          <w:lang w:val="en-US"/>
        </w:rPr>
        <w:t>Study selection</w:t>
      </w:r>
    </w:p>
    <w:p>
      <w:pPr>
        <w:pStyle w:val="Body"/>
      </w:pPr>
      <w:r>
        <w:rPr>
          <w:rtl w:val="0"/>
          <w:lang w:val="en-US"/>
        </w:rPr>
        <w:t xml:space="preserve">Titles and abstracts were screened against predefined eligibility criteria by one reviewer (MM), </w:t>
      </w:r>
      <w:r>
        <w:rPr>
          <w:shd w:val="clear" w:color="auto" w:fill="ffff00"/>
          <w:rtl w:val="0"/>
          <w:lang w:val="zh-TW" w:eastAsia="zh-TW"/>
        </w:rPr>
        <w:t>?</w:t>
      </w:r>
      <w:r>
        <w:rPr>
          <w:rtl w:val="0"/>
        </w:rPr>
        <w:t xml:space="preserve"> </w:t>
      </w:r>
      <w:r>
        <w:rPr>
          <w:shd w:val="clear" w:color="auto" w:fill="ffff00"/>
          <w:rtl w:val="0"/>
          <w:lang w:val="en-US"/>
        </w:rPr>
        <w:t>with a second reviewer independently checking a random 20% sample</w:t>
      </w:r>
      <w:r>
        <w:rPr>
          <w:rtl w:val="0"/>
          <w:lang w:val="de-DE"/>
        </w:rPr>
        <w:t>. Studies were included if they evaluated a self-report questionnaire or screening item against a measure of visual function or low vision rehabilitation need in adults. Potentially eligible articles (include and maybe records) underwent full-text review, and reasons for exclusion were recorded. Data extraction into a standard table: instrument, number of items, population (glaucoma %), reference standard, sensitivity / specificity / AUC, time to administer, validation method, languages.</w:t>
      </w:r>
    </w:p>
    <w:p>
      <w:pPr>
        <w:pStyle w:val="Body"/>
        <w:rPr>
          <w:i w:val="1"/>
          <w:iCs w:val="1"/>
        </w:rPr>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7975"/>
        <w:gridCol w:w="1385"/>
      </w:tblGrid>
      <w:tr>
        <w:tblPrEx>
          <w:shd w:val="clear" w:color="auto" w:fill="cad1d7"/>
        </w:tblPrEx>
        <w:trPr>
          <w:trHeight w:val="257" w:hRule="atLeast"/>
        </w:trPr>
        <w:tc>
          <w:tcPr>
            <w:tcW w:type="dxa" w:w="7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b w:val="1"/>
                <w:bCs w:val="1"/>
                <w:i w:val="0"/>
                <w:iCs w:val="0"/>
                <w:kern w:val="0"/>
                <w:shd w:val="nil" w:color="auto" w:fill="auto"/>
                <w:rtl w:val="0"/>
                <w:lang w:val="en-US"/>
              </w:rPr>
              <w:t>Stage</w:t>
            </w:r>
          </w:p>
        </w:tc>
        <w:tc>
          <w:tcPr>
            <w:tcW w:type="dxa" w:w="13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spacing w:after="0" w:line="240" w:lineRule="auto"/>
            </w:pPr>
            <w:r>
              <w:rPr>
                <w:rFonts w:ascii="Calibri" w:hAnsi="Calibri"/>
                <w:b w:val="1"/>
                <w:bCs w:val="1"/>
                <w:i w:val="0"/>
                <w:iCs w:val="0"/>
                <w:kern w:val="0"/>
                <w:shd w:val="nil" w:color="auto" w:fill="auto"/>
                <w:rtl w:val="0"/>
                <w:lang w:val="en-US"/>
              </w:rPr>
              <w:t>Records</w:t>
            </w:r>
          </w:p>
        </w:tc>
      </w:tr>
      <w:tr>
        <w:tblPrEx>
          <w:shd w:val="clear" w:color="auto" w:fill="cad1d7"/>
        </w:tblPrEx>
        <w:trPr>
          <w:trHeight w:val="290" w:hRule="atLeast"/>
        </w:trPr>
        <w:tc>
          <w:tcPr>
            <w:tcW w:type="dxa" w:w="7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spacing w:after="0" w:line="240" w:lineRule="auto"/>
            </w:pPr>
            <w:r>
              <w:rPr>
                <w:rFonts w:ascii="Calibri" w:hAnsi="Calibri"/>
                <w:i w:val="0"/>
                <w:iCs w:val="0"/>
                <w:kern w:val="0"/>
                <w:shd w:val="nil" w:color="auto" w:fill="auto"/>
                <w:rtl w:val="0"/>
                <w:lang w:val="en-US"/>
              </w:rPr>
              <w:t>PubMed</w:t>
            </w:r>
          </w:p>
        </w:tc>
        <w:tc>
          <w:tcPr>
            <w:tcW w:type="dxa" w:w="13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spacing w:after="0" w:line="240" w:lineRule="auto"/>
            </w:pPr>
            <w:r>
              <w:rPr>
                <w:i w:val="1"/>
                <w:iCs w:val="1"/>
                <w:shd w:val="nil" w:color="auto" w:fill="auto"/>
                <w:rtl w:val="0"/>
                <w:lang w:val="en-US"/>
              </w:rPr>
              <w:t>78</w:t>
            </w:r>
          </w:p>
        </w:tc>
      </w:tr>
      <w:tr>
        <w:tblPrEx>
          <w:shd w:val="clear" w:color="auto" w:fill="cad1d7"/>
        </w:tblPrEx>
        <w:trPr>
          <w:trHeight w:val="290" w:hRule="atLeast"/>
        </w:trPr>
        <w:tc>
          <w:tcPr>
            <w:tcW w:type="dxa" w:w="7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spacing w:after="0" w:line="240" w:lineRule="auto"/>
            </w:pPr>
            <w:r>
              <w:rPr>
                <w:rFonts w:ascii="Calibri" w:hAnsi="Calibri"/>
                <w:i w:val="0"/>
                <w:iCs w:val="0"/>
                <w:kern w:val="0"/>
                <w:shd w:val="nil" w:color="auto" w:fill="auto"/>
                <w:rtl w:val="0"/>
                <w:lang w:val="en-US"/>
              </w:rPr>
              <w:t>Scopus</w:t>
            </w:r>
          </w:p>
        </w:tc>
        <w:tc>
          <w:tcPr>
            <w:tcW w:type="dxa" w:w="13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spacing w:after="0" w:line="240" w:lineRule="auto"/>
            </w:pPr>
            <w:r>
              <w:rPr>
                <w:i w:val="1"/>
                <w:iCs w:val="1"/>
                <w:shd w:val="nil" w:color="auto" w:fill="auto"/>
                <w:rtl w:val="0"/>
                <w:lang w:val="en-US"/>
              </w:rPr>
              <w:t>88</w:t>
            </w:r>
          </w:p>
        </w:tc>
      </w:tr>
      <w:tr>
        <w:tblPrEx>
          <w:shd w:val="clear" w:color="auto" w:fill="cad1d7"/>
        </w:tblPrEx>
        <w:trPr>
          <w:trHeight w:val="290" w:hRule="atLeast"/>
        </w:trPr>
        <w:tc>
          <w:tcPr>
            <w:tcW w:type="dxa" w:w="7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spacing w:after="0" w:line="240" w:lineRule="auto"/>
            </w:pPr>
            <w:r>
              <w:rPr>
                <w:rFonts w:ascii="Calibri" w:hAnsi="Calibri"/>
                <w:i w:val="0"/>
                <w:iCs w:val="0"/>
                <w:kern w:val="0"/>
                <w:shd w:val="nil" w:color="auto" w:fill="auto"/>
                <w:rtl w:val="0"/>
                <w:lang w:val="en-US"/>
              </w:rPr>
              <w:t>Total identified</w:t>
            </w:r>
          </w:p>
        </w:tc>
        <w:tc>
          <w:tcPr>
            <w:tcW w:type="dxa" w:w="13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spacing w:after="0" w:line="240" w:lineRule="auto"/>
            </w:pPr>
            <w:r>
              <w:rPr>
                <w:i w:val="1"/>
                <w:iCs w:val="1"/>
                <w:shd w:val="nil" w:color="auto" w:fill="auto"/>
                <w:rtl w:val="0"/>
                <w:lang w:val="en-US"/>
              </w:rPr>
              <w:t>166</w:t>
            </w:r>
          </w:p>
        </w:tc>
      </w:tr>
      <w:tr>
        <w:tblPrEx>
          <w:shd w:val="clear" w:color="auto" w:fill="cad1d7"/>
        </w:tblPrEx>
        <w:trPr>
          <w:trHeight w:val="290" w:hRule="atLeast"/>
        </w:trPr>
        <w:tc>
          <w:tcPr>
            <w:tcW w:type="dxa" w:w="7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spacing w:after="0" w:line="240" w:lineRule="auto"/>
            </w:pPr>
            <w:r>
              <w:rPr>
                <w:rFonts w:ascii="Calibri" w:hAnsi="Calibri"/>
                <w:i w:val="0"/>
                <w:iCs w:val="0"/>
                <w:kern w:val="0"/>
                <w:shd w:val="nil" w:color="auto" w:fill="auto"/>
                <w:rtl w:val="0"/>
                <w:lang w:val="en-US"/>
              </w:rPr>
              <w:t>Duplicates removed (Zotero, each pair checked manually)</w:t>
            </w:r>
          </w:p>
        </w:tc>
        <w:tc>
          <w:tcPr>
            <w:tcW w:type="dxa" w:w="13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spacing w:after="0" w:line="240" w:lineRule="auto"/>
            </w:pPr>
            <w:r>
              <w:rPr>
                <w:i w:val="1"/>
                <w:iCs w:val="1"/>
                <w:shd w:val="nil" w:color="auto" w:fill="auto"/>
                <w:rtl w:val="0"/>
                <w:lang w:val="en-US"/>
              </w:rPr>
              <w:t>39</w:t>
            </w:r>
          </w:p>
        </w:tc>
      </w:tr>
      <w:tr>
        <w:tblPrEx>
          <w:shd w:val="clear" w:color="auto" w:fill="cad1d7"/>
        </w:tblPrEx>
        <w:trPr>
          <w:trHeight w:val="290" w:hRule="atLeast"/>
        </w:trPr>
        <w:tc>
          <w:tcPr>
            <w:tcW w:type="dxa" w:w="7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spacing w:after="0" w:line="240" w:lineRule="auto"/>
            </w:pPr>
            <w:r>
              <w:rPr>
                <w:rFonts w:ascii="Calibri" w:hAnsi="Calibri"/>
                <w:i w:val="0"/>
                <w:iCs w:val="0"/>
                <w:kern w:val="0"/>
                <w:shd w:val="nil" w:color="auto" w:fill="auto"/>
                <w:rtl w:val="0"/>
                <w:lang w:val="en-US"/>
              </w:rPr>
              <w:t>Records for title/abstract screening</w:t>
            </w:r>
          </w:p>
        </w:tc>
        <w:tc>
          <w:tcPr>
            <w:tcW w:type="dxa" w:w="13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spacing w:after="0" w:line="240" w:lineRule="auto"/>
            </w:pPr>
            <w:r>
              <w:rPr>
                <w:i w:val="1"/>
                <w:iCs w:val="1"/>
                <w:shd w:val="nil" w:color="auto" w:fill="auto"/>
                <w:rtl w:val="0"/>
                <w:lang w:val="en-US"/>
              </w:rPr>
              <w:t>127</w:t>
            </w:r>
          </w:p>
        </w:tc>
      </w:tr>
    </w:tbl>
    <w:p>
      <w:pPr>
        <w:pStyle w:val="Body"/>
        <w:widowControl w:val="0"/>
        <w:spacing w:line="240" w:lineRule="auto"/>
        <w:rPr>
          <w:i w:val="1"/>
          <w:iCs w:val="1"/>
        </w:rPr>
      </w:pPr>
    </w:p>
    <w:p>
      <w:pPr>
        <w:pStyle w:val="Body"/>
        <w:rPr>
          <w:i w:val="1"/>
          <w:iCs w:val="1"/>
        </w:rPr>
      </w:pPr>
    </w:p>
    <w:tbl>
      <w:tblPr>
        <w:tblW w:w="935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4726"/>
        <w:gridCol w:w="4624"/>
      </w:tblGrid>
      <w:tr>
        <w:tblPrEx>
          <w:shd w:val="clear" w:color="auto" w:fill="cad1d7"/>
        </w:tblPrEx>
        <w:trPr>
          <w:trHeight w:val="257" w:hRule="atLeast"/>
        </w:trPr>
        <w:tc>
          <w:tcPr>
            <w:tcW w:type="dxa" w:w="47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b w:val="1"/>
                <w:bCs w:val="1"/>
                <w:i w:val="0"/>
                <w:iCs w:val="0"/>
                <w:kern w:val="0"/>
                <w:shd w:val="nil" w:color="auto" w:fill="auto"/>
                <w:rtl w:val="0"/>
                <w:lang w:val="en-US"/>
              </w:rPr>
              <w:t>Include</w:t>
            </w:r>
          </w:p>
        </w:tc>
        <w:tc>
          <w:tcPr>
            <w:tcW w:type="dxa" w:w="4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spacing w:after="0" w:line="240" w:lineRule="auto"/>
            </w:pPr>
            <w:r>
              <w:rPr>
                <w:rFonts w:ascii="Calibri" w:hAnsi="Calibri"/>
                <w:b w:val="1"/>
                <w:bCs w:val="1"/>
                <w:i w:val="0"/>
                <w:iCs w:val="0"/>
                <w:kern w:val="0"/>
                <w:shd w:val="nil" w:color="auto" w:fill="auto"/>
                <w:rtl w:val="0"/>
                <w:lang w:val="en-US"/>
              </w:rPr>
              <w:t>Exclude</w:t>
            </w:r>
          </w:p>
        </w:tc>
      </w:tr>
      <w:tr>
        <w:tblPrEx>
          <w:shd w:val="clear" w:color="auto" w:fill="cad1d7"/>
        </w:tblPrEx>
        <w:trPr>
          <w:trHeight w:val="557" w:hRule="atLeast"/>
        </w:trPr>
        <w:tc>
          <w:tcPr>
            <w:tcW w:type="dxa" w:w="47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spacing w:after="0" w:line="240" w:lineRule="auto"/>
            </w:pPr>
            <w:r>
              <w:rPr>
                <w:rFonts w:ascii="Calibri" w:hAnsi="Calibri"/>
                <w:i w:val="0"/>
                <w:iCs w:val="0"/>
                <w:kern w:val="0"/>
                <w:shd w:val="nil" w:color="auto" w:fill="auto"/>
                <w:rtl w:val="0"/>
                <w:lang w:val="en-US"/>
              </w:rPr>
              <w:t>Adults (18+) with or at risk of visual impairment</w:t>
            </w:r>
          </w:p>
        </w:tc>
        <w:tc>
          <w:tcPr>
            <w:tcW w:type="dxa" w:w="4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spacing w:after="0" w:line="240" w:lineRule="auto"/>
            </w:pPr>
            <w:r>
              <w:rPr>
                <w:rFonts w:ascii="Calibri" w:hAnsi="Calibri"/>
                <w:i w:val="0"/>
                <w:iCs w:val="0"/>
                <w:kern w:val="0"/>
                <w:shd w:val="nil" w:color="auto" w:fill="auto"/>
                <w:rtl w:val="0"/>
                <w:lang w:val="en-US"/>
              </w:rPr>
              <w:t>Pediatric-only populations</w:t>
            </w:r>
          </w:p>
        </w:tc>
      </w:tr>
      <w:tr>
        <w:tblPrEx>
          <w:shd w:val="clear" w:color="auto" w:fill="cad1d7"/>
        </w:tblPrEx>
        <w:trPr>
          <w:trHeight w:val="557" w:hRule="atLeast"/>
        </w:trPr>
        <w:tc>
          <w:tcPr>
            <w:tcW w:type="dxa" w:w="47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spacing w:after="0" w:line="240" w:lineRule="auto"/>
            </w:pPr>
            <w:r>
              <w:rPr>
                <w:rFonts w:ascii="Calibri" w:hAnsi="Calibri"/>
                <w:i w:val="0"/>
                <w:iCs w:val="0"/>
                <w:kern w:val="0"/>
                <w:shd w:val="nil" w:color="auto" w:fill="auto"/>
                <w:rtl w:val="0"/>
                <w:lang w:val="en-US"/>
              </w:rPr>
              <w:t>Self-report questionnaires or screening items for visual function or LVR need</w:t>
            </w:r>
          </w:p>
        </w:tc>
        <w:tc>
          <w:tcPr>
            <w:tcW w:type="dxa" w:w="4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spacing w:after="0" w:line="240" w:lineRule="auto"/>
            </w:pPr>
            <w:r>
              <w:rPr>
                <w:rFonts w:ascii="Calibri" w:hAnsi="Calibri"/>
                <w:i w:val="0"/>
                <w:iCs w:val="0"/>
                <w:kern w:val="0"/>
                <w:shd w:val="nil" w:color="auto" w:fill="auto"/>
                <w:rtl w:val="0"/>
                <w:lang w:val="en-US"/>
              </w:rPr>
              <w:t>Studies of rehabilitation interventions with no questionnaire validation or screening data</w:t>
            </w:r>
          </w:p>
        </w:tc>
      </w:tr>
      <w:tr>
        <w:tblPrEx>
          <w:shd w:val="clear" w:color="auto" w:fill="cad1d7"/>
        </w:tblPrEx>
        <w:trPr>
          <w:trHeight w:val="557" w:hRule="atLeast"/>
        </w:trPr>
        <w:tc>
          <w:tcPr>
            <w:tcW w:type="dxa" w:w="47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spacing w:after="0" w:line="240" w:lineRule="auto"/>
            </w:pPr>
            <w:r>
              <w:rPr>
                <w:rFonts w:ascii="Calibri" w:hAnsi="Calibri"/>
                <w:i w:val="0"/>
                <w:iCs w:val="0"/>
                <w:kern w:val="0"/>
                <w:shd w:val="nil" w:color="auto" w:fill="auto"/>
                <w:rtl w:val="0"/>
                <w:lang w:val="en-US"/>
              </w:rPr>
              <w:t>Reports accuracy (sensitivity, specificity, AUC) or validation (Rasch, reliability) or clinical use</w:t>
            </w:r>
          </w:p>
        </w:tc>
        <w:tc>
          <w:tcPr>
            <w:tcW w:type="dxa" w:w="4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spacing w:after="0" w:line="240" w:lineRule="auto"/>
            </w:pPr>
            <w:r>
              <w:rPr>
                <w:rFonts w:ascii="Calibri" w:hAnsi="Calibri"/>
                <w:i w:val="0"/>
                <w:iCs w:val="0"/>
                <w:kern w:val="0"/>
                <w:shd w:val="nil" w:color="auto" w:fill="auto"/>
                <w:rtl w:val="0"/>
                <w:lang w:val="en-US"/>
              </w:rPr>
              <w:t>Conference abstracts without full data; non-English/French</w:t>
            </w:r>
          </w:p>
        </w:tc>
      </w:tr>
      <w:tr>
        <w:tblPrEx>
          <w:shd w:val="clear" w:color="auto" w:fill="cad1d7"/>
        </w:tblPrEx>
        <w:trPr>
          <w:trHeight w:val="557" w:hRule="atLeast"/>
        </w:trPr>
        <w:tc>
          <w:tcPr>
            <w:tcW w:type="dxa" w:w="47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spacing w:after="0" w:line="240" w:lineRule="auto"/>
            </w:pPr>
            <w:r>
              <w:rPr>
                <w:rFonts w:ascii="Calibri" w:hAnsi="Calibri"/>
                <w:i w:val="0"/>
                <w:iCs w:val="0"/>
                <w:kern w:val="0"/>
                <w:shd w:val="nil" w:color="auto" w:fill="auto"/>
                <w:rtl w:val="0"/>
                <w:lang w:val="en-US"/>
              </w:rPr>
              <w:t>Glaucoma-specific patient-reported outcome studies</w:t>
            </w:r>
          </w:p>
        </w:tc>
        <w:tc>
          <w:tcPr>
            <w:tcW w:type="dxa" w:w="4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spacing w:after="0" w:line="240" w:lineRule="auto"/>
            </w:pPr>
            <w:r>
              <w:rPr>
                <w:rFonts w:ascii="Calibri" w:hAnsi="Calibri"/>
                <w:i w:val="0"/>
                <w:iCs w:val="0"/>
                <w:kern w:val="0"/>
                <w:shd w:val="nil" w:color="auto" w:fill="auto"/>
                <w:rtl w:val="0"/>
                <w:lang w:val="en-US"/>
              </w:rPr>
              <w:t>Single case reports; opinion pieces (used for context only)</w:t>
            </w:r>
          </w:p>
        </w:tc>
      </w:tr>
      <w:tr>
        <w:tblPrEx>
          <w:shd w:val="clear" w:color="auto" w:fill="cad1d7"/>
        </w:tblPrEx>
        <w:trPr>
          <w:trHeight w:val="557" w:hRule="atLeast"/>
        </w:trPr>
        <w:tc>
          <w:tcPr>
            <w:tcW w:type="dxa" w:w="47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spacing w:after="0" w:line="240" w:lineRule="auto"/>
            </w:pPr>
            <w:r>
              <w:rPr>
                <w:rFonts w:ascii="Calibri" w:hAnsi="Calibri"/>
                <w:i w:val="0"/>
                <w:iCs w:val="0"/>
                <w:kern w:val="0"/>
                <w:shd w:val="nil" w:color="auto" w:fill="auto"/>
                <w:rtl w:val="0"/>
                <w:lang w:val="en-US"/>
              </w:rPr>
              <w:t>Guidelines and consensus statements on LVR referral</w:t>
            </w:r>
          </w:p>
        </w:tc>
        <w:tc>
          <w:tcPr>
            <w:tcW w:type="dxa" w:w="4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tc>
      </w:tr>
    </w:tbl>
    <w:p>
      <w:pPr>
        <w:pStyle w:val="Body"/>
        <w:widowControl w:val="0"/>
        <w:spacing w:line="240" w:lineRule="auto"/>
        <w:rPr>
          <w:i w:val="1"/>
          <w:iCs w:val="1"/>
        </w:rPr>
      </w:pPr>
    </w:p>
    <w:p>
      <w:pPr>
        <w:pStyle w:val="Body"/>
        <w:rPr>
          <w:i w:val="1"/>
          <w:iCs w:val="1"/>
        </w:rPr>
      </w:pPr>
    </w:p>
    <w:p>
      <w:pPr>
        <w:pStyle w:val="Body"/>
      </w:pPr>
    </w:p>
    <w:p>
      <w:pPr>
        <w:pStyle w:val="Body"/>
      </w:pPr>
      <w:r>
        <w:rPr>
          <w:shd w:val="clear" w:color="auto" w:fill="ffff00"/>
          <w:rtl w:val="0"/>
          <w:lang w:val="en-US"/>
        </w:rPr>
        <w:t>Key Sources so far:</w:t>
      </w: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"https://experts.umn.edu/en/publications/screening-questions-to-identify-low-vision-and-acuity-defined-leg/"</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Wu YH, Yu D, Goldstein JE, Kwon M, Wang C, Legge GE. Screening questions to identify low vision and acuity-defined legal blindness. IOVS, Jan 2026</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"https://pmc.ncbi.nlm.nih.gov/articles/PMC11412607/"</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Estimating Visual Acuity Without a Visual Acuity Chart (Legge group, PMC11412607)</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"https://pmc.ncbi.nlm.nih.gov/articles/PMC4142770"</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Nguyen AM, van Landingham SW, Massof RW, Rubin GS, Ramulu PY. Reading ability and reading engagement in older adults with glaucoma. IOVS 2014</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"https://doi.org/10.3109/09286586.2012.712192"</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 xml:space="preserve">Gothwal VK et al. Andhra Pradesh Eye Disease Study </w:t>
      </w:r>
      <w:r>
        <w:rPr>
          <w:rStyle w:val="Hyperlink.0"/>
          <w:rFonts w:ascii="Times New Roman" w:hAnsi="Times New Roman" w:hint="default"/>
          <w:rtl w:val="0"/>
          <w:lang w:val="en-US"/>
        </w:rPr>
        <w:t xml:space="preserve">– </w:t>
      </w:r>
      <w:r>
        <w:rPr>
          <w:rStyle w:val="Hyperlink.0"/>
          <w:rFonts w:ascii="Times New Roman" w:hAnsi="Times New Roman"/>
          <w:rtl w:val="0"/>
          <w:lang w:val="en-US"/>
        </w:rPr>
        <w:t>Visual Function Questionnaire: further improvements in psychometric properties using Rasch analysis. Ophthalmic Epidemiol 2012</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"https://doi.org/10.1016/j.ophtha.2024.06.009"</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Potter T et al. Concordance between self-reported visual difficulty and objective visual impairment: the National Health and Aging Trends Study. Ophthalmology 2024</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"https://doi.org/10.1016/S0002-9394(00)00610-3"</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Wolffsohn JS et al. Design of the low vision quality-of-life questionnaire (LVQOL) and measuring the outcome of low-vision rehabilitation. Am J Ophthalmol 2000</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"https://doi.org/10.1093/ageing/afx202"</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Labreche T et al. Development and validation of Visual Impairment as a Risk for Falls Questionnaire. Age Ageing 2018</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"https://doi.org/10.1097/OPX.0000000000002236"</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Stalin A et al. Development of a screening tool for reduced vision among inpatients of hospital rehabilitation units. Optom Vis Sci 2025</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"https://doi.org/10.1177/23969873251314693"</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Rowe FJ et al. European Stroke Organisation (ESO) guideline on visual impairment in stroke. Eur Stroke J 2025</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"https://doi.org/10.1682/jrrd.2004.07.0080"</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Babcock-Parziale J et al. Evaluating psychometric properties of a clinical and a self-report blind rehabilitation outcome measure. J Rehabil Res Dev 2005</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"https://doi.org/10.1167/iovs.10-7055"</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Tabrett DR et al. Factors influencing self-reported vision-related activity limitation in the visually impaired. IOVS 2011</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"https://doi.org/10.3233/JPD-213143"</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Pengo M et al. Impact of visual impairment on vision-related quality of life in Parkinson's disease. J Parkinsons Dis 2022</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"https://doi.org/10.4103/ijo.IJO_2625_20"</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Sahu A et al. Is the high contrast visual acuity chart a good predictor of improvement in visual acuity with low vision aids? Indian J Ophthalmol 2021</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"https://pubmed.ncbi.nlm.nih.gov/12202503/"</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Stelmack JA et al. Measuring low-vision rehabilitation outcomes with the NEI VFQ-25. IOVS 2002</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"https://doi.org/10.1167/iovs.05-1319"</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Stelmack JA et al. Measuring outcomes of vision rehabilitation with the Veterans Affairs Low Vision Visual Functioning Questionnaire. IOVS 2006</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"https://doi.org/10.1097/OPX.0000000000001327"</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Selivanova A et al. Outcomes after comprehensive vision rehabilitation using vision-related quality of life questionnaires: Impact of Vision Impairment and National Eye Institute Visual Functioning Questionnaire. Optom Vis Sci 2019</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"https://doi.org/10.1177/0145482X0409800502"</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Szlyk JP et al. Performance of the Veterans Affairs Low Vision Visual Functioning Questionnaire. J Vis Impair Blind 2004</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"https://doi.org/10.1097/OPX.0b013e31812f5f24"</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La Grow SJ. Predicting perceived quality of life scores from the National Eye Institute 25-item Visual Function Questionnaire. Optom Vis Sci 2007</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"https://doi.org/10.1097/00006324-200207000-00009"</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Gresset J et al. Prevalence of visual impairment and utilization of rehabilitation services in the visually impaired elderly population of Quebec. Optom Vis Sci 2002</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"https://doi.org/10.5301/ejo.5000972"</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Murro V et al. Reading ability and quality of life in Stargardt disease. Eur J Ophthalmol 2017</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"https://doi.org/10.1111/opo.12606"</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Macnaughton J et al. Rehabilitation needs and activity limitations of adults with a visual impairment entering a low vision rehabilitation service in England. Ophthalmic Physiol Opt 2019</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"https://doi.org/10.5014/ajot.2020.038307"</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Smith TM et al. Responsiveness of the Revised Low Vision Independence Measure (LVIM-R). Am J Occup Ther 2020</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"https://www.ncbi.nlm.nih.gov/books/NBK35192/"</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Chou R et al. Screening for visual impairment in older adults: systematic review to update the 1996 U.S. Preventive Services Task Force recommendation. NCBI Bookshelf (NBK35192) 2009</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"https://doi.org/10.1167/iovs.06-0566"</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Massof RW et al. Self-reported importance and difficulty of driving in a low-vision clinic population. IOVS 2007</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"https://doi.org/10.1167/iovs.05-0137"</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Subramanian A et al. Spatial localization in visual impairment. IOVS 2006</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"https://doi.org/10.1177/1120672119852016"</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Di Maggio I et al. The Veterans Affairs Low-Vision Visual Functioning Questionnaire-48 (VA LV VFQ-48): performance of the Italian version. Eur J Ophthalmol 2020</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"https://doi.org/10.1016/S0161-6420(02)01742-6"</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Sumi I et al. The relationship between visual disability and visual field in patients with glaucoma. Ophthalmology 2003</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"https://doi.org/10.1177/2150131911429824"</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Dickson G et al. Time required for screening for visual impairment in primary care: a randomized comparison of 3 common visual tests. J Prim Care Community Health 2012</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"https://doi.org/10.1016/j.vhri.2025.101498"</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Surawatsatien N et al. Translation and testing psychometric properties of the Thai version of Vision Bolt-On EQ-5D in patients with visual impairment. Value Health Reg Issues 2026</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"https://doi.org/10.1016/j.optom.2021.01.004"</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P</w:t>
      </w:r>
      <w:r>
        <w:rPr>
          <w:rStyle w:val="Hyperlink.0"/>
          <w:rFonts w:ascii="Times New Roman" w:hAnsi="Times New Roman" w:hint="default"/>
          <w:rtl w:val="0"/>
          <w:lang w:val="en-US"/>
        </w:rPr>
        <w:t>é</w:t>
      </w:r>
      <w:r>
        <w:rPr>
          <w:rStyle w:val="Hyperlink.0"/>
          <w:rFonts w:ascii="Times New Roman" w:hAnsi="Times New Roman"/>
          <w:rtl w:val="0"/>
          <w:lang w:val="en-US"/>
        </w:rPr>
        <w:t>rez-Ma</w:t>
      </w:r>
      <w:r>
        <w:rPr>
          <w:rStyle w:val="Hyperlink.0"/>
          <w:rFonts w:ascii="Times New Roman" w:hAnsi="Times New Roman" w:hint="default"/>
          <w:rtl w:val="0"/>
          <w:lang w:val="en-US"/>
        </w:rPr>
        <w:t xml:space="preserve">ñá </w:t>
      </w:r>
      <w:r>
        <w:rPr>
          <w:rStyle w:val="Hyperlink.0"/>
          <w:rFonts w:ascii="Times New Roman" w:hAnsi="Times New Roman"/>
          <w:rtl w:val="0"/>
          <w:lang w:val="en-US"/>
        </w:rPr>
        <w:t>L et al. Validation of the Spanish version of the Low Vision Quality of Life Questionnaire. J Optom 2022</w:t>
      </w:r>
      <w:r>
        <w:rPr>
          <w:rFonts w:ascii="Times New Roman" w:cs="Times New Roman" w:hAnsi="Times New Roman" w:eastAsia="Times New Roman"/>
        </w:rPr>
        <w:fldChar w:fldCharType="end" w:fldLock="0"/>
      </w:r>
    </w:p>
    <w:p>
      <w:pPr>
        <w:pStyle w:val="List Paragraph"/>
        <w:spacing w:before="100" w:after="100" w:line="240" w:lineRule="auto"/>
        <w:rPr>
          <w:rStyle w:val="None"/>
          <w:rFonts w:ascii="Times New Roman" w:cs="Times New Roman" w:hAnsi="Times New Roman" w:eastAsia="Times New Roman"/>
          <w:kern w:val="0"/>
        </w:rPr>
      </w:pPr>
    </w:p>
    <w:p>
      <w:pPr>
        <w:pStyle w:val="List Paragraph"/>
        <w:numPr>
          <w:ilvl w:val="0"/>
          <w:numId w:val="4"/>
        </w:numPr>
        <w:bidi w:val="0"/>
        <w:spacing w:before="100" w:after="100" w:line="240" w:lineRule="auto"/>
        <w:ind w:right="0"/>
        <w:jc w:val="left"/>
        <w:rPr>
          <w:rFonts w:ascii="Times New Roman" w:cs="Times New Roman" w:hAnsi="Times New Roman" w:eastAsia="Times New Roman"/>
          <w:rtl w:val="0"/>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"https://doi.org/10.1111/j.1444-0938.2007.00120.x"</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Bibby SA et al. Vision and self-reported mobility performance in patients with low vision. Clin Exp Optom 2007</w:t>
      </w:r>
      <w:r>
        <w:rPr>
          <w:rFonts w:ascii="Times New Roman" w:cs="Times New Roman" w:hAnsi="Times New Roman" w:eastAsia="Times New Roman"/>
        </w:rPr>
        <w:fldChar w:fldCharType="end" w:fldLock="0"/>
      </w:r>
    </w:p>
    <w:p>
      <w:pPr>
        <w:pStyle w:val="Body"/>
      </w:pPr>
      <w:r>
        <w:rPr>
          <w:rStyle w:val="None"/>
          <w:shd w:val="clear" w:color="auto" w:fill="ffff00"/>
          <w:rtl w:val="0"/>
          <w:lang w:val="en-US"/>
        </w:rPr>
        <w:t>Still to screen</w:t>
      </w:r>
      <w:r>
        <w:rPr>
          <w:rStyle w:val="None"/>
          <w:rtl w:val="0"/>
        </w:rPr>
        <w:t xml:space="preserve"> …</w:t>
      </w:r>
    </w:p>
    <w:p>
      <w:pPr>
        <w:pStyle w:val="Body"/>
      </w:pPr>
    </w:p>
    <w:p>
      <w:pPr>
        <w:pStyle w:val="Body"/>
      </w:pPr>
      <w:r>
        <w:rPr>
          <w:rStyle w:val="None"/>
          <w:rtl w:val="0"/>
          <w:lang w:val="en-US"/>
        </w:rPr>
        <w:t>Proposed article outline:</w:t>
      </w:r>
    </w:p>
    <w:p>
      <w:pPr>
        <w:pStyle w:val="Body"/>
      </w:pPr>
      <w:r>
        <w:rPr>
          <w:rStyle w:val="None"/>
          <w:rtl w:val="0"/>
          <w:lang w:val="en-US"/>
        </w:rPr>
        <w:t xml:space="preserve">Title: Questionnaires to Identify </w:t>
      </w:r>
      <w:r>
        <w:rPr>
          <w:rStyle w:val="None"/>
          <w:shd w:val="clear" w:color="auto" w:fill="ffff00"/>
          <w:rtl w:val="0"/>
          <w:lang w:val="fr-FR"/>
        </w:rPr>
        <w:t>(?Glaucoma)</w:t>
      </w:r>
      <w:r>
        <w:rPr>
          <w:rStyle w:val="None"/>
          <w:rtl w:val="0"/>
          <w:lang w:val="en-US"/>
        </w:rPr>
        <w:t xml:space="preserve"> Patients for Low Vision Rehabilitation</w:t>
      </w:r>
    </w:p>
    <w:p>
      <w:pPr>
        <w:pStyle w:val="Body"/>
        <w:numPr>
          <w:ilvl w:val="0"/>
          <w:numId w:val="6"/>
        </w:numPr>
        <w:rPr>
          <w:lang w:val="en-US"/>
        </w:rPr>
      </w:pPr>
      <w:r>
        <w:rPr>
          <w:rStyle w:val="None"/>
          <w:rFonts w:ascii="Aptos" w:cs="Aptos" w:hAnsi="Aptos" w:eastAsia="Aptos"/>
          <w:b w:val="1"/>
          <w:bCs w:val="1"/>
          <w:rtl w:val="0"/>
          <w:lang w:val="en-US"/>
        </w:rPr>
        <w:t>Introduction: the referral gap</w:t>
      </w:r>
    </w:p>
    <w:p>
      <w:pPr>
        <w:pStyle w:val="Body"/>
        <w:ind w:left="360" w:firstLine="0"/>
      </w:pPr>
      <w:r>
        <w:rPr>
          <w:rStyle w:val="None"/>
          <w:rtl w:val="0"/>
          <w:lang w:val="en-US"/>
        </w:rPr>
        <w:t>Starting w glaucoma as the leading cause of low vision</w:t>
      </w:r>
    </w:p>
    <w:p>
      <w:pPr>
        <w:pStyle w:val="Body"/>
        <w:ind w:left="360" w:firstLine="0"/>
      </w:pPr>
      <w:r>
        <w:rPr>
          <w:rStyle w:val="None"/>
          <w:rtl w:val="0"/>
          <w:lang w:val="en-US"/>
        </w:rPr>
        <w:t>That few eligible patients reach LVR</w:t>
      </w:r>
    </w:p>
    <w:p>
      <w:pPr>
        <w:pStyle w:val="Body"/>
        <w:ind w:firstLine="360"/>
      </w:pPr>
      <w:r>
        <w:rPr>
          <w:rStyle w:val="None"/>
          <w:rtl w:val="0"/>
          <w:lang w:val="en-US"/>
        </w:rPr>
        <w:t xml:space="preserve">Mention the AAO model for referral </w:t>
      </w:r>
    </w:p>
    <w:p>
      <w:pPr>
        <w:pStyle w:val="Body"/>
        <w:ind w:left="360" w:firstLine="0"/>
      </w:pPr>
      <w:r>
        <w:rPr>
          <w:rStyle w:val="None"/>
          <w:rtl w:val="0"/>
          <w:lang w:val="en-US"/>
        </w:rPr>
        <w:t>Purpose: how a new LVR clinic can screen during the technician w/u</w:t>
      </w:r>
    </w:p>
    <w:p>
      <w:pPr>
        <w:pStyle w:val="Body"/>
        <w:ind w:left="360" w:firstLine="0"/>
      </w:pPr>
    </w:p>
    <w:p>
      <w:pPr>
        <w:pStyle w:val="Body"/>
        <w:numPr>
          <w:ilvl w:val="0"/>
          <w:numId w:val="6"/>
        </w:numPr>
        <w:rPr>
          <w:lang w:val="en-US"/>
        </w:rPr>
      </w:pPr>
      <w:r>
        <w:rPr>
          <w:rStyle w:val="None"/>
          <w:rFonts w:ascii="Aptos" w:cs="Aptos" w:hAnsi="Aptos" w:eastAsia="Aptos"/>
          <w:b w:val="1"/>
          <w:bCs w:val="1"/>
          <w:rtl w:val="0"/>
          <w:lang w:val="en-US"/>
        </w:rPr>
        <w:t>How glaucoma disables beyond visual acuity</w:t>
      </w:r>
    </w:p>
    <w:p>
      <w:pPr>
        <w:pStyle w:val="Body"/>
        <w:ind w:firstLine="360"/>
      </w:pPr>
      <w:r>
        <w:rPr>
          <w:rStyle w:val="None"/>
          <w:rtl w:val="0"/>
          <w:lang w:val="en-US"/>
        </w:rPr>
        <w:t>That field loss and contrast loss affecting every aspect of vision often with preserved VA</w:t>
      </w:r>
    </w:p>
    <w:p>
      <w:pPr>
        <w:pStyle w:val="Body"/>
        <w:ind w:firstLine="360"/>
      </w:pPr>
      <w:r>
        <w:rPr>
          <w:rStyle w:val="None"/>
          <w:rtl w:val="0"/>
          <w:lang w:val="en-US"/>
        </w:rPr>
        <w:t>Mention the Canadian legal-blindness definition</w:t>
      </w:r>
    </w:p>
    <w:p>
      <w:pPr>
        <w:pStyle w:val="Body"/>
        <w:ind w:firstLine="360"/>
      </w:pPr>
    </w:p>
    <w:p>
      <w:pPr>
        <w:pStyle w:val="Body"/>
        <w:numPr>
          <w:ilvl w:val="0"/>
          <w:numId w:val="6"/>
        </w:numPr>
        <w:rPr>
          <w:lang w:val="en-US"/>
        </w:rPr>
      </w:pPr>
      <w:r>
        <w:rPr>
          <w:rStyle w:val="None"/>
          <w:rFonts w:ascii="Aptos" w:cs="Aptos" w:hAnsi="Aptos" w:eastAsia="Aptos"/>
          <w:b w:val="1"/>
          <w:bCs w:val="1"/>
          <w:rtl w:val="0"/>
          <w:lang w:val="en-US"/>
        </w:rPr>
        <w:t>Full-length questionnaires used in LVR and glaucoma</w:t>
      </w:r>
    </w:p>
    <w:p>
      <w:pPr>
        <w:pStyle w:val="Body"/>
        <w:ind w:firstLine="360"/>
      </w:pPr>
      <w:r>
        <w:rPr>
          <w:rStyle w:val="None"/>
          <w:rtl w:val="0"/>
          <w:lang w:val="en-US"/>
        </w:rPr>
        <w:t xml:space="preserve">NEI VFQ-25, VA LV VFQ-48, Activity Inventory, IVI, GQL-15, GAL-9. </w:t>
      </w:r>
      <w:r>
        <w:rPr>
          <w:rStyle w:val="None"/>
          <w:shd w:val="clear" w:color="auto" w:fill="ffff00"/>
          <w:rtl w:val="0"/>
          <w:lang w:val="en-US"/>
        </w:rPr>
        <w:t>(yet to complete)</w:t>
      </w:r>
    </w:p>
    <w:p>
      <w:pPr>
        <w:pStyle w:val="Body"/>
        <w:ind w:firstLine="360"/>
      </w:pPr>
      <w:r>
        <w:rPr>
          <w:rStyle w:val="None"/>
          <w:rtl w:val="0"/>
          <w:lang w:val="en-US"/>
        </w:rPr>
        <w:t>Explain why they are too long for routine screening</w:t>
      </w:r>
    </w:p>
    <w:p>
      <w:pPr>
        <w:pStyle w:val="Body"/>
        <w:ind w:firstLine="360"/>
      </w:pPr>
    </w:p>
    <w:p>
      <w:pPr>
        <w:pStyle w:val="Body"/>
        <w:numPr>
          <w:ilvl w:val="0"/>
          <w:numId w:val="6"/>
        </w:numPr>
        <w:rPr>
          <w:lang w:val="en-US"/>
        </w:rPr>
      </w:pPr>
      <w:r>
        <w:rPr>
          <w:rStyle w:val="None"/>
          <w:rFonts w:ascii="Aptos" w:cs="Aptos" w:hAnsi="Aptos" w:eastAsia="Aptos"/>
          <w:b w:val="1"/>
          <w:bCs w:val="1"/>
          <w:rtl w:val="0"/>
          <w:lang w:val="en-US"/>
        </w:rPr>
        <w:t>The two-question approach</w:t>
      </w:r>
    </w:p>
    <w:p>
      <w:pPr>
        <w:pStyle w:val="Body"/>
        <w:ind w:firstLine="360"/>
      </w:pPr>
      <w:r>
        <w:rPr>
          <w:rStyle w:val="None"/>
          <w:rtl w:val="0"/>
          <w:lang w:val="en-US"/>
        </w:rPr>
        <w:t>Where they came from (Legge group's 100-item acuity survey)</w:t>
      </w:r>
    </w:p>
    <w:p>
      <w:pPr>
        <w:pStyle w:val="Body"/>
        <w:ind w:firstLine="360"/>
      </w:pPr>
      <w:r>
        <w:rPr>
          <w:rStyle w:val="None"/>
          <w:rtl w:val="0"/>
          <w:lang w:val="en-US"/>
        </w:rPr>
        <w:t>Accuracy of each item and when come together (sensitivity, specificity, AUC)</w:t>
      </w:r>
    </w:p>
    <w:p>
      <w:pPr>
        <w:pStyle w:val="Body"/>
        <w:ind w:firstLine="360"/>
      </w:pPr>
    </w:p>
    <w:p>
      <w:pPr>
        <w:pStyle w:val="Body"/>
        <w:numPr>
          <w:ilvl w:val="0"/>
          <w:numId w:val="6"/>
        </w:numPr>
        <w:rPr>
          <w:lang w:val="en-US"/>
        </w:rPr>
      </w:pPr>
      <w:r>
        <w:rPr>
          <w:rStyle w:val="None"/>
          <w:rFonts w:ascii="Aptos" w:cs="Aptos" w:hAnsi="Aptos" w:eastAsia="Aptos"/>
          <w:b w:val="1"/>
          <w:bCs w:val="1"/>
          <w:rtl w:val="0"/>
          <w:lang w:val="en-US"/>
        </w:rPr>
        <w:t>Will it work in a LVR clinic?</w:t>
      </w:r>
    </w:p>
    <w:p>
      <w:pPr>
        <w:pStyle w:val="Body"/>
        <w:ind w:firstLine="360"/>
      </w:pPr>
      <w:r>
        <w:rPr>
          <w:rStyle w:val="None"/>
          <w:rtl w:val="0"/>
          <w:lang w:val="en-US"/>
        </w:rPr>
        <w:t>? Likely under-detection of field-limited patients</w:t>
      </w:r>
    </w:p>
    <w:p>
      <w:pPr>
        <w:pStyle w:val="Body"/>
        <w:tabs>
          <w:tab w:val="left" w:pos="1440"/>
        </w:tabs>
        <w:ind w:firstLine="360"/>
      </w:pPr>
      <w:r>
        <w:rPr>
          <w:rStyle w:val="None"/>
          <w:rtl w:val="0"/>
          <w:lang w:val="en-US"/>
        </w:rPr>
        <w:t>? Setting differences, cultural and literacy assumptions, etc</w:t>
      </w:r>
    </w:p>
    <w:p>
      <w:pPr>
        <w:pStyle w:val="Body"/>
        <w:tabs>
          <w:tab w:val="left" w:pos="1440"/>
        </w:tabs>
        <w:ind w:firstLine="360"/>
      </w:pPr>
      <w:r>
        <w:rPr>
          <w:rStyle w:val="None"/>
          <w:rtl w:val="0"/>
          <w:lang w:val="en-US"/>
        </w:rPr>
        <w:t>? Self-report bias</w:t>
      </w:r>
    </w:p>
    <w:p>
      <w:pPr>
        <w:pStyle w:val="Body"/>
        <w:tabs>
          <w:tab w:val="left" w:pos="1440"/>
        </w:tabs>
        <w:ind w:firstLine="360"/>
      </w:pPr>
    </w:p>
    <w:p>
      <w:pPr>
        <w:pStyle w:val="Body"/>
        <w:numPr>
          <w:ilvl w:val="0"/>
          <w:numId w:val="6"/>
        </w:numPr>
        <w:bidi w:val="0"/>
        <w:ind w:right="0"/>
        <w:jc w:val="left"/>
        <w:rPr>
          <w:outline w:val="0"/>
          <w:color w:val="ee0000"/>
          <w:rtl w:val="0"/>
          <w:lang w:val="en-US"/>
          <w14:textFill>
            <w14:solidFill>
              <w14:srgbClr w14:val="EE0000"/>
            </w14:solidFill>
          </w14:textFill>
        </w:rPr>
      </w:pPr>
      <w:r>
        <w:rPr>
          <w:rStyle w:val="None"/>
          <w:rFonts w:ascii="Aptos" w:cs="Aptos" w:hAnsi="Aptos" w:eastAsia="Aptos"/>
          <w:b w:val="1"/>
          <w:bCs w:val="1"/>
          <w:outline w:val="0"/>
          <w:color w:val="ee0000"/>
          <w:u w:color="ee0000"/>
          <w:rtl w:val="0"/>
          <w:lang w:val="en-US"/>
          <w14:textFill>
            <w14:solidFill>
              <w14:srgbClr w14:val="EE0000"/>
            </w14:solidFill>
          </w14:textFill>
        </w:rPr>
        <w:t>Proposed technician work-up protocol</w:t>
      </w:r>
    </w:p>
    <w:p>
      <w:pPr>
        <w:pStyle w:val="Body"/>
        <w:ind w:left="360" w:firstLine="0"/>
      </w:pPr>
      <w:r>
        <w:rPr>
          <w:rStyle w:val="None"/>
          <w:rtl w:val="0"/>
          <w:lang w:val="en-US"/>
        </w:rPr>
        <w:t>? Ask both items, maybe add more items for glaucoma patients or combine with VA and last visual field result</w:t>
      </w:r>
    </w:p>
    <w:p>
      <w:pPr>
        <w:pStyle w:val="Body"/>
        <w:numPr>
          <w:ilvl w:val="0"/>
          <w:numId w:val="6"/>
        </w:numPr>
        <w:rPr>
          <w:lang w:val="en-US"/>
        </w:rPr>
      </w:pPr>
      <w:r>
        <w:rPr>
          <w:rStyle w:val="None"/>
          <w:rFonts w:ascii="Aptos" w:cs="Aptos" w:hAnsi="Aptos" w:eastAsia="Aptos"/>
          <w:b w:val="1"/>
          <w:bCs w:val="1"/>
          <w:rtl w:val="0"/>
          <w:lang w:val="en-US"/>
        </w:rPr>
        <w:t>Future directions</w:t>
      </w:r>
      <w:r/>
    </w:p>
    <w:sectPr>
      <w:headerReference w:type="default" r:id="rId4"/>
      <w:footerReference w:type="default" r:id="rId5"/>
      <w:pgSz w:w="12240" w:h="158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1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1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1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0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0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720"/>
        </w:tabs>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720"/>
        </w:tabs>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720"/>
        </w:tabs>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720"/>
        </w:tabs>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720"/>
        </w:tabs>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720"/>
        </w:tabs>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720"/>
        </w:tabs>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720"/>
        </w:tabs>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160" w:line="278"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Outline>
        <w14:noFill/>
      </w14:textOutline>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160" w:line="278" w:lineRule="auto"/>
      <w:ind w:left="72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character" w:styleId="Emphasis A">
    <w:name w:val="Emphasis A"/>
    <w:rPr>
      <w:rFonts w:ascii="Aptos" w:cs="Aptos" w:hAnsi="Aptos" w:eastAsia="Aptos"/>
      <w:i w:val="1"/>
      <w:iCs w:val="1"/>
      <w:lang w:val="en-US"/>
    </w:rPr>
  </w:style>
  <w:style w:type="character" w:styleId="None">
    <w:name w:val="None"/>
  </w:style>
  <w:style w:type="character" w:styleId="Hyperlink.0">
    <w:name w:val="Hyperlink.0"/>
    <w:basedOn w:val="None"/>
    <w:next w:val="Hyperlink.0"/>
    <w:rPr>
      <w:outline w:val="0"/>
      <w:color w:val="0000ff"/>
      <w:kern w:val="0"/>
      <w:u w:val="single" w:color="0000ff"/>
      <w14:textFill>
        <w14:solidFill>
          <w14:srgbClr w14:val="0000FF"/>
        </w14:solidFill>
      </w14:textFill>
    </w:rPr>
  </w:style>
  <w:style w:type="numbering" w:styleId="Imported Style 2">
    <w:name w:val="Imported Style 2"/>
    <w:pPr>
      <w:numPr>
        <w:numId w:val="3"/>
      </w:numPr>
    </w:pPr>
  </w:style>
  <w:style w:type="numbering" w:styleId="Imported Style 3">
    <w:name w:val="Imported Style 3"/>
    <w:pPr>
      <w:numPr>
        <w:numId w:val="5"/>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