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rsidP="002E4E20">
      <w:pPr>
        <w:ind w:left="0" w:right="20"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09139EED">
            <wp:simplePos x="0" y="0"/>
            <wp:positionH relativeFrom="column">
              <wp:posOffset>0</wp:posOffset>
            </wp:positionH>
            <wp:positionV relativeFrom="paragraph">
              <wp:posOffset>635</wp:posOffset>
            </wp:positionV>
            <wp:extent cx="1130300" cy="1256665"/>
            <wp:effectExtent l="0" t="0" r="0" b="635"/>
            <wp:wrapTight wrapText="bothSides">
              <wp:wrapPolygon edited="0">
                <wp:start x="0" y="0"/>
                <wp:lineTo x="0" y="21283"/>
                <wp:lineTo x="21115" y="21283"/>
                <wp:lineTo x="21115"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30300" cy="1256665"/>
                    </a:xfrm>
                    <a:prstGeom prst="rect">
                      <a:avLst/>
                    </a:prstGeom>
                    <a:ln/>
                  </pic:spPr>
                </pic:pic>
              </a:graphicData>
            </a:graphic>
            <wp14:sizeRelH relativeFrom="margin">
              <wp14:pctWidth>0</wp14:pctWidth>
            </wp14:sizeRelH>
            <wp14:sizeRelV relativeFrom="margin">
              <wp14:pctHeight>0</wp14:pctHeight>
            </wp14:sizeRelV>
          </wp:anchor>
        </w:drawing>
      </w:r>
      <w:r w:rsidRPr="00BC61FA">
        <w:rPr>
          <w:rFonts w:ascii="Arial" w:eastAsia="Arial" w:hAnsi="Arial"/>
          <w:sz w:val="22"/>
          <w:szCs w:val="22"/>
          <w:lang w:val="sv-SE"/>
        </w:rPr>
        <w:t>KEMENTRIAN HUKUM DAN HAK ASASI MANUSIA RI</w:t>
      </w:r>
    </w:p>
    <w:p w14:paraId="705DF6BD" w14:textId="77777777" w:rsidR="00472F0E" w:rsidRPr="00BC61FA" w:rsidRDefault="00000000" w:rsidP="002E4E20">
      <w:pPr>
        <w:spacing w:line="238" w:lineRule="auto"/>
        <w:ind w:left="0" w:right="20"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rsidP="002E4E20">
      <w:pPr>
        <w:ind w:left="0" w:right="20" w:hanging="2"/>
        <w:jc w:val="center"/>
        <w:rPr>
          <w:rFonts w:ascii="Arial" w:eastAsia="Arial" w:hAnsi="Arial"/>
          <w:sz w:val="24"/>
          <w:szCs w:val="24"/>
          <w:highlight w:val="yellow"/>
          <w:lang w:val="sv-SE"/>
        </w:rPr>
      </w:pPr>
      <w:r>
        <w:rPr>
          <w:rFonts w:ascii="Arial" w:eastAsia="Arial" w:hAnsi="Arial"/>
          <w:b/>
          <w:sz w:val="24"/>
          <w:szCs w:val="24"/>
          <w:lang w:val="sv-SE"/>
        </w:rPr>
        <w:t>PROGRAM DAN HUBUNGAN MASYARAKAT</w:t>
      </w:r>
    </w:p>
    <w:p w14:paraId="3DD0AF5C" w14:textId="77777777" w:rsidR="00472F0E" w:rsidRPr="00097193" w:rsidRDefault="00000000" w:rsidP="002E4E20">
      <w:pPr>
        <w:spacing w:line="248" w:lineRule="auto"/>
        <w:ind w:left="0" w:right="20" w:hanging="2"/>
        <w:jc w:val="center"/>
        <w:rPr>
          <w:rFonts w:ascii="Arial" w:eastAsia="Arial" w:hAnsi="Arial"/>
          <w:highlight w:val="yellow"/>
          <w:lang w:val="sv-SE"/>
        </w:rPr>
      </w:pPr>
      <w:r w:rsidRPr="00097193">
        <w:rPr>
          <w:rFonts w:ascii="Arial" w:eastAsia="Arial" w:hAnsi="Arial"/>
          <w:lang w:val="sv-SE"/>
        </w:rPr>
        <w:t xml:space="preserve">Kanwil Sumatera Utara, Jl. Putri Hijau No.4, Kesawan, Medan Barat, Medan City, North Sumatra 20112  </w:t>
      </w:r>
    </w:p>
    <w:p w14:paraId="09E4299A" w14:textId="77777777" w:rsidR="00472F0E" w:rsidRPr="00097193" w:rsidRDefault="00472F0E" w:rsidP="002E4E20">
      <w:pPr>
        <w:spacing w:line="248" w:lineRule="auto"/>
        <w:ind w:left="0" w:right="20" w:hanging="2"/>
        <w:jc w:val="center"/>
        <w:rPr>
          <w:rFonts w:ascii="Arial" w:eastAsia="Arial" w:hAnsi="Arial"/>
          <w:highlight w:val="yellow"/>
          <w:lang w:val="sv-SE"/>
        </w:rPr>
      </w:pPr>
    </w:p>
    <w:p w14:paraId="111CAFDF" w14:textId="2F8F7579" w:rsidR="00472F0E" w:rsidRDefault="00000000" w:rsidP="002E4E20">
      <w:pPr>
        <w:spacing w:line="248" w:lineRule="auto"/>
        <w:ind w:left="0" w:right="20" w:hanging="2"/>
        <w:jc w:val="center"/>
        <w:rPr>
          <w:rFonts w:ascii="Arial" w:eastAsia="Arial" w:hAnsi="Arial"/>
          <w:highlight w:val="yellow"/>
        </w:rPr>
      </w:pPr>
      <w:r>
        <w:rPr>
          <w:rFonts w:ascii="Arial" w:eastAsia="Arial" w:hAnsi="Arial"/>
        </w:rPr>
        <w:t>08123456789</w:t>
      </w:r>
    </w:p>
    <w:p w14:paraId="1493B6F6" w14:textId="5E11FA8F" w:rsidR="00472F0E" w:rsidRDefault="00CF0F3B" w:rsidP="002E4E20">
      <w:pPr>
        <w:ind w:left="0" w:right="20" w:hanging="2"/>
        <w:jc w:val="center"/>
        <w:rPr>
          <w:rFonts w:ascii="Arial" w:eastAsia="Arial" w:hAnsi="Arial"/>
        </w:rPr>
      </w:pPr>
      <w:r>
        <w:rPr>
          <w:rFonts w:ascii="Arial" w:eastAsia="Arial" w:hAnsi="Arial"/>
        </w:rPr>
        <w:t>Laman:</w:t>
      </w:r>
      <w:r w:rsidRPr="00CF0F3B">
        <w:rPr>
          <w:rFonts w:ascii="Arial" w:eastAsia="Arial" w:hAnsi="Arial"/>
        </w:rPr>
        <w:t xml:space="preserve"> </w:t>
      </w:r>
      <w:r>
        <w:rPr>
          <w:rFonts w:ascii="Arial" w:eastAsia="Arial" w:hAnsi="Arial"/>
        </w:rPr>
        <w:t>https://sumut.kemenkumham.go.id/</w:t>
      </w:r>
      <w:r w:rsidR="00BC61FA" w:rsidRPr="00BC61FA">
        <w:rPr>
          <w:rFonts w:ascii="Arial" w:eastAsia="Arial" w:hAnsi="Arial"/>
        </w:rPr>
        <w:t xml:space="preserve"> </w:t>
      </w:r>
      <w:r>
        <w:rPr>
          <w:rFonts w:ascii="Arial" w:eastAsia="Arial" w:hAnsi="Arial"/>
        </w:rPr>
        <w:t xml:space="preserve">Surel: </w:t>
      </w:r>
      <w:r>
        <w:rPr>
          <w:rFonts w:ascii="Arial" w:eastAsia="Arial" w:hAnsi="Arial"/>
        </w:rPr>
        <w:t>kanwilsumut@kemenkumham.go.id</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0B4C1BF6">
                <wp:simplePos x="0" y="0"/>
                <wp:positionH relativeFrom="column">
                  <wp:posOffset>0</wp:posOffset>
                </wp:positionH>
                <wp:positionV relativeFrom="paragraph">
                  <wp:posOffset>88265</wp:posOffset>
                </wp:positionV>
                <wp:extent cx="62865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F07A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95pt" to="4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FR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lang w:val="sv-SE"/>
        </w:rPr>
        <w:t>PROGRAM DAN HUBUNGAN MASYARAKAT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rangka mewujudkan disiplin dalam penyerapan anggaran perlu dilakukan monitoring dan evaluasi penyerapan anggaran kepada satuan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Ruang Lingkup</w:t>
      </w:r>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lingkup pelaksanaan Monitoring dan Evaluasi terhadap capaian nilai E-MONEV, SMART dan E-PERFORMANCE pada </w:t>
      </w:r>
      <w:r w:rsidR="00BC61FA">
        <w:rPr>
          <w:rFonts w:ascii="Arial" w:eastAsia="Arial" w:hAnsi="Arial"/>
          <w:sz w:val="24"/>
          <w:szCs w:val="24"/>
        </w:rPr>
        <w:t>program dan hubungan masyarakat</w:t>
      </w:r>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lang w:val="sv-SE"/>
        </w:rPr>
        <w:t>program dan hubungan masyarakat</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evaluasi penganggaran tingkat satuan kerja meliputi 2 pengukuran yaitu Kinerja Penganggraran (Aspek Implementasi) yang diperoleh dari nilai E-MONEV dan kinerja pelaksanaan anggaran yang diperoleh dari nilai IKPA. Para penanggung jawab/operator telah melakukan pengisian Aplikasi E-MONEV sesuai dengan output yang tercapai dan menjadi tolak ukur capaian kinerja dengan nilaii capaian di </w:t>
      </w:r>
      <w:r w:rsidRPr="00BC61FA">
        <w:rPr>
          <w:rFonts w:ascii="Arial" w:eastAsia="Arial" w:hAnsi="Arial"/>
          <w:sz w:val="24"/>
          <w:szCs w:val="24"/>
        </w:rPr>
        <w:t xml:space="preserve">Triwulan </w:t>
      </w:r>
      <w:r w:rsidR="00BC61FA">
        <w:rPr>
          <w:rFonts w:ascii="Arial" w:eastAsia="Arial" w:hAnsi="Arial"/>
          <w:sz w:val="24"/>
          <w:szCs w:val="24"/>
        </w:rPr>
        <w:t>III</w:t>
      </w:r>
      <w:r w:rsidRPr="00BC61FA">
        <w:rPr>
          <w:rFonts w:ascii="Arial" w:eastAsia="Arial" w:hAnsi="Arial"/>
          <w:sz w:val="24"/>
          <w:szCs w:val="24"/>
        </w:rPr>
        <w:t xml:space="preserve"> Tahun </w:t>
      </w:r>
      <w:r w:rsidR="00BC61FA" w:rsidRPr="00BC61FA">
        <w:rPr>
          <w:rFonts w:ascii="Arial" w:eastAsia="Arial" w:hAnsi="Arial"/>
          <w:sz w:val="24"/>
          <w:szCs w:val="24"/>
        </w:rPr>
        <w:t>2024</w:t>
      </w:r>
      <w:r>
        <w:rPr>
          <w:rFonts w:ascii="Arial" w:eastAsia="Arial" w:hAnsi="Arial"/>
          <w:sz w:val="24"/>
          <w:szCs w:val="24"/>
        </w:rPr>
        <w:t xml:space="preserve"> yakni </w:t>
      </w:r>
      <w:r w:rsidR="00BC61FA" w:rsidRPr="00BC61FA">
        <w:rPr>
          <w:rFonts w:ascii="Arial" w:eastAsia="Arial" w:hAnsi="Arial"/>
          <w:sz w:val="24"/>
          <w:szCs w:val="24"/>
        </w:rPr>
        <w:t>90</w:t>
      </w:r>
      <w:r>
        <w:rPr>
          <w:rFonts w:ascii="Arial" w:eastAsia="Arial" w:hAnsi="Arial"/>
          <w:sz w:val="24"/>
          <w:szCs w:val="24"/>
        </w:rPr>
        <w:t>%</w:t>
      </w:r>
    </w:p>
    <w:p w14:paraId="154B27A4" w14:textId="77777777" w:rsidR="00472F0E" w:rsidRDefault="00472F0E" w:rsidP="00E14902">
      <w:pPr>
        <w:ind w:leftChars="0" w:left="0" w:firstLineChars="0" w:firstLine="0"/>
        <w:rPr>
          <w:rFonts w:ascii="Arial" w:eastAsia="Arial" w:hAnsi="Arial"/>
        </w:rPr>
      </w:pPr>
    </w:p>
    <w:p w14:paraId="5DAFDE65" w14:textId="77777777" w:rsidR="00E14902" w:rsidRDefault="00E14902" w:rsidP="00E14902">
      <w:pPr>
        <w:ind w:leftChars="0" w:left="0" w:firstLineChars="0" w:firstLine="0"/>
        <w:rPr>
          <w:rFonts w:ascii="Arial" w:eastAsia="Arial" w:hAnsi="Arial"/>
        </w:rPr>
      </w:pPr>
    </w:p>
    <w:p w14:paraId="6582F889" w14:textId="71657162" w:rsidR="00E14902" w:rsidRPr="00E14902" w:rsidRDefault="00E14902" w:rsidP="00CD6C1D">
      <w:pPr>
        <w:ind w:leftChars="0" w:left="0" w:firstLineChars="0" w:firstLine="0"/>
        <w:jc w:val="center"/>
        <w:rPr>
          <w:rFonts w:ascii="Arial" w:eastAsia="Arial" w:hAnsi="Arial"/>
          <w:sz w:val="24"/>
          <w:szCs w:val="24"/>
        </w:rPr>
        <w:sectPr w:rsidR="00E14902" w:rsidRPr="00E14902">
          <w:pgSz w:w="12240" w:h="15840"/>
          <w:pgMar w:top="1336" w:right="1380" w:bottom="1440" w:left="1436" w:header="0" w:footer="0" w:gutter="0"/>
          <w:cols w:space="720"/>
        </w:sectPr>
      </w:pPr>
      <w:r w:rsidRPr="00E14902">
        <w:rPr>
          <w:rFonts w:ascii="Arial" w:eastAsia="Arial" w:hAnsi="Arial"/>
          <w:sz w:val="24"/>
          <w:szCs w:val="24"/>
        </w:rPr>
        <w:drawing>
          <wp:inline xmlns:a="http://schemas.openxmlformats.org/drawingml/2006/main" xmlns:pic="http://schemas.openxmlformats.org/drawingml/2006/picture">
            <wp:extent cx="1828800" cy="2438400"/>
            <wp:docPr id="61835912" name="Picture 61835912"/>
            <wp:cNvGraphicFramePr>
              <a:graphicFrameLocks noChangeAspect="1"/>
            </wp:cNvGraphicFramePr>
            <a:graphic>
              <a:graphicData uri="http://schemas.openxmlformats.org/drawingml/2006/picture">
                <pic:pic>
                  <pic:nvPicPr>
                    <pic:cNvPr id="0" name="WhatsApp Image 2024-01-03 at 12.28.28_5165d2cb.jpg"/>
                    <pic:cNvPicPr/>
                  </pic:nvPicPr>
                  <pic:blipFill>
                    <a:blip r:embed="rId10"/>
                    <a:stretch>
                      <a:fillRect/>
                    </a:stretch>
                  </pic:blipFill>
                  <pic:spPr>
                    <a:xfrm>
                      <a:off x="0" y="0"/>
                      <a:ext cx="1828800" cy="2438400"/>
                    </a:xfrm>
                    <a:prstGeom prst="rect"/>
                  </pic:spPr>
                </pic:pic>
              </a:graphicData>
            </a:graphic>
          </wp:inline>
        </w:drawing>
      </w:r>
    </w:p>
    <w:p w14:paraId="6C858359" w14:textId="1CB7CA22"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evaluasi penganggaran tingkat satuan kerja meliputi 2 pengukuran yaitu Kinerja Penganggaran (Aspek Implementasi) yang diperoleh dari nilai SMART dan kinerja pelaksanaan anggaran yang diperoleh dari nilai IKPA. Para penanggung jawab/operator telah melakukan pengisian Aplikasi SMART sesuai dengan output yang tercapai dan menjadi tolak ukur capaian kinerja dengan nilaii capaian di </w:t>
      </w:r>
      <w:r w:rsidR="00BC61FA" w:rsidRPr="00BC61FA">
        <w:rPr>
          <w:rFonts w:ascii="Arial" w:eastAsia="Arial" w:hAnsi="Arial"/>
          <w:sz w:val="24"/>
          <w:szCs w:val="24"/>
        </w:rPr>
        <w:t xml:space="preserve">Triwulan </w:t>
      </w:r>
      <w:r w:rsidR="00C864BE">
        <w:rPr>
          <w:rFonts w:ascii="Arial" w:eastAsia="Arial" w:hAnsi="Arial"/>
          <w:sz w:val="24"/>
          <w:szCs w:val="24"/>
        </w:rPr>
        <w:t>II</w:t>
      </w:r>
      <w:r w:rsidR="00BC61FA" w:rsidRPr="00BC61FA">
        <w:rPr>
          <w:rFonts w:ascii="Arial" w:eastAsia="Arial" w:hAnsi="Arial"/>
          <w:sz w:val="24"/>
          <w:szCs w:val="24"/>
        </w:rPr>
        <w:t xml:space="preserve"> Tahun </w:t>
      </w:r>
      <w:r w:rsidR="00C864BE">
        <w:rPr>
          <w:rFonts w:ascii="Arial" w:eastAsia="Arial" w:hAnsi="Arial"/>
          <w:sz w:val="24"/>
          <w:szCs w:val="24"/>
        </w:rPr>
        <w:t>2023</w:t>
      </w:r>
      <w:r w:rsidR="00BC61FA">
        <w:rPr>
          <w:rFonts w:ascii="Arial" w:eastAsia="Arial" w:hAnsi="Arial"/>
          <w:sz w:val="24"/>
          <w:szCs w:val="24"/>
        </w:rPr>
        <w:t xml:space="preserve"> yakni </w:t>
      </w:r>
      <w:r w:rsidR="00C864BE">
        <w:rPr>
          <w:rFonts w:ascii="Arial" w:eastAsia="Arial" w:hAnsi="Arial"/>
          <w:sz w:val="24"/>
          <w:szCs w:val="24"/>
        </w:rPr>
        <w:t>80</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061E2B9B" w14:textId="77777777" w:rsidR="00472F0E" w:rsidRDefault="00472F0E">
      <w:pPr>
        <w:ind w:left="0" w:hanging="2"/>
        <w:rPr>
          <w:rFonts w:ascii="Arial" w:eastAsia="Arial" w:hAnsi="Arial"/>
        </w:rPr>
      </w:pPr>
      <w:bookmarkStart w:id="5" w:name="bookmark=id.tyjcwt" w:colFirst="0" w:colLast="0"/>
      <w:bookmarkEnd w:id="5"/>
    </w:p>
    <w:p w14:paraId="5C8EFA25" w14:textId="2673AD87" w:rsidR="00E14902" w:rsidRPr="00E14902" w:rsidRDefault="00E14902" w:rsidP="00CD6C1D">
      <w:pPr>
        <w:ind w:left="0" w:hanging="2"/>
        <w:jc w:val="center"/>
        <w:rPr>
          <w:rFonts w:ascii="Arial" w:eastAsia="Arial" w:hAnsi="Arial"/>
          <w:sz w:val="24"/>
          <w:szCs w:val="24"/>
        </w:rPr>
        <w:sectPr w:rsidR="00E14902" w:rsidRPr="00E14902">
          <w:pgSz w:w="12240" w:h="15840"/>
          <w:pgMar w:top="1347" w:right="1440" w:bottom="1440" w:left="1171" w:header="0" w:footer="0" w:gutter="0"/>
          <w:cols w:space="720"/>
        </w:sectPr>
      </w:pPr>
      <w:r w:rsidRPr="00E14902">
        <w:rPr>
          <w:rFonts w:ascii="Arial" w:eastAsia="Arial" w:hAnsi="Arial"/>
          <w:sz w:val="24"/>
          <w:szCs w:val="24"/>
        </w:rPr>
        <w:drawing>
          <wp:inline xmlns:a="http://schemas.openxmlformats.org/drawingml/2006/main" xmlns:pic="http://schemas.openxmlformats.org/drawingml/2006/picture">
            <wp:extent cx="1828800" cy="1828800"/>
            <wp:docPr id="61835913" name="Picture 61835913"/>
            <wp:cNvGraphicFramePr>
              <a:graphicFrameLocks noChangeAspect="1"/>
            </wp:cNvGraphicFramePr>
            <a:graphic>
              <a:graphicData uri="http://schemas.openxmlformats.org/drawingml/2006/picture">
                <pic:pic>
                  <pic:nvPicPr>
                    <pic:cNvPr id="0" name="PAS FOTO ANDHIKA.jpg"/>
                    <pic:cNvPicPr/>
                  </pic:nvPicPr>
                  <pic:blipFill>
                    <a:blip r:embed="rId11"/>
                    <a:stretch>
                      <a:fillRect/>
                    </a:stretch>
                  </pic:blipFill>
                  <pic:spPr>
                    <a:xfrm>
                      <a:off x="0" y="0"/>
                      <a:ext cx="1828800" cy="1828800"/>
                    </a:xfrm>
                    <a:prstGeom prst="rect"/>
                  </pic:spPr>
                </pic:pic>
              </a:graphicData>
            </a:graphic>
          </wp:inline>
        </w:drawing>
      </w:r>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Hambatan / Permasalahan</w:t>
      </w:r>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capaian Penyerapan Anggaran di </w:t>
      </w:r>
      <w:r w:rsidR="00BC61FA">
        <w:rPr>
          <w:rFonts w:ascii="Arial" w:eastAsia="Arial" w:hAnsi="Arial"/>
          <w:sz w:val="24"/>
          <w:szCs w:val="24"/>
        </w:rPr>
        <w:t>program dan hubungan masyarakat</w:t>
      </w:r>
      <w:r>
        <w:rPr>
          <w:rFonts w:ascii="Arial" w:eastAsia="Arial" w:hAnsi="Arial"/>
          <w:sz w:val="24"/>
          <w:szCs w:val="24"/>
        </w:rPr>
        <w:t xml:space="preserve"> pada Triwulan III Tahun 2024 adalah sangat baik/baik/kurang (*pilih salah satu), adapun dalam pemenuhannya, beberapa kendala yang ditemui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kakak</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kakaka</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Rencana Tindak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Rencana tindaklanjut yang telah disiapkan untuk mengatasi permasalahan yang ditemui adalah sebagai berikut: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kakaka</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kakakak</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Evaluasi Nilai E-MONEV, SMART, dan E-performance triwulan III Tahun 2024 di </w:t>
      </w:r>
      <w:r w:rsidR="00BC61FA">
        <w:rPr>
          <w:rFonts w:ascii="Arial" w:eastAsia="Arial" w:hAnsi="Arial"/>
          <w:sz w:val="24"/>
          <w:szCs w:val="24"/>
        </w:rPr>
        <w:t>program dan hubungan masyarakat</w:t>
      </w:r>
      <w:r>
        <w:rPr>
          <w:rFonts w:ascii="Arial" w:eastAsia="Arial" w:hAnsi="Arial"/>
          <w:sz w:val="24"/>
          <w:szCs w:val="24"/>
        </w:rPr>
        <w:t xml:space="preserve"> untuk dipergunakan sebagai bahan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1F4007"/>
    <w:rsid w:val="001F483C"/>
    <w:rsid w:val="002E4E20"/>
    <w:rsid w:val="003810AA"/>
    <w:rsid w:val="003B2EFE"/>
    <w:rsid w:val="00472F0E"/>
    <w:rsid w:val="004A5B47"/>
    <w:rsid w:val="005D111E"/>
    <w:rsid w:val="006B6B4A"/>
    <w:rsid w:val="00795E56"/>
    <w:rsid w:val="00896BC2"/>
    <w:rsid w:val="008F2A25"/>
    <w:rsid w:val="0092288A"/>
    <w:rsid w:val="009C456F"/>
    <w:rsid w:val="00A31C69"/>
    <w:rsid w:val="00BA3FCF"/>
    <w:rsid w:val="00BB05D9"/>
    <w:rsid w:val="00BC61FA"/>
    <w:rsid w:val="00BE3141"/>
    <w:rsid w:val="00C864BE"/>
    <w:rsid w:val="00CD4338"/>
    <w:rsid w:val="00CD6C1D"/>
    <w:rsid w:val="00CF0F3B"/>
    <w:rsid w:val="00DA2783"/>
    <w:rsid w:val="00E14902"/>
    <w:rsid w:val="00E52580"/>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19</cp:revision>
  <dcterms:created xsi:type="dcterms:W3CDTF">2024-07-01T04:49:00Z</dcterms:created>
  <dcterms:modified xsi:type="dcterms:W3CDTF">2024-07-15T01:52:00Z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