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jc w:val="center"/>
      </w:pPr>
      <w:r>
        <w:rPr>
          <w:rFonts w:ascii="Microsoft YaHei" w:hAnsi="Microsoft YaHei" w:eastAsia="Microsoft YaHei"/>
          <w:b/>
          <w:color w:val="1E40AF"/>
          <w:sz w:val="56"/>
        </w:rPr>
        <w:t>2025年上海市创新药行业研究报告</w:t>
      </w:r>
    </w:p>
    <w:p>
      <w:pPr>
        <w:jc w:val="center"/>
      </w:pPr>
      <w:r>
        <w:rPr>
          <w:rFonts w:ascii="Microsoft YaHei" w:hAnsi="Microsoft YaHei" w:eastAsia="Microsoft YaHei"/>
          <w:color w:val="64748B"/>
          <w:sz w:val="28"/>
        </w:rPr>
        <w:t>深度行业研究报告</w:t>
      </w:r>
    </w:p>
    <w:p>
      <w:pPr>
        <w:spacing w:before="2000"/>
        <w:jc w:val="center"/>
      </w:pPr>
      <w:r>
        <w:rPr>
          <w:rFonts w:ascii="Microsoft YaHei" w:hAnsi="Microsoft YaHei" w:eastAsia="Microsoft YaHei"/>
          <w:color w:val="475569"/>
          <w:sz w:val="22"/>
        </w:rPr>
        <w:t>FinSight AI Agent</w:t>
        <w:br/>
        <w:t>报告日期：2026年01月06日</w:t>
      </w:r>
    </w:p>
    <w:p>
      <w:pPr>
        <w:spacing w:before="1000"/>
        <w:jc w:val="center"/>
      </w:pPr>
      <w:r>
        <w:rPr>
          <w:rFonts w:ascii="Microsoft YaHei" w:hAnsi="Microsoft YaHei" w:eastAsia="Microsoft YaHei"/>
          <w:color w:val="94A3B8"/>
          <w:sz w:val="18"/>
        </w:rPr>
        <w:t>本报告由AI智能体自动生成，仅供参考</w:t>
      </w:r>
    </w:p>
    <w:p>
      <w:r>
        <w:br w:type="page"/>
      </w:r>
    </w:p>
    <w:p>
      <w:pPr>
        <w:pStyle w:val="Heading1"/>
        <w:jc w:val="center"/>
      </w:pPr>
      <w:r>
        <w:t>创新药行业深度研究报告</w:t>
      </w:r>
    </w:p>
    <w:p>
      <w:r>
        <w:rPr>
          <w:rFonts w:ascii="Microsoft YaHei" w:hAnsi="Microsoft YaHei" w:eastAsia="Microsoft YaHei"/>
        </w:rPr>
      </w:r>
      <w:r>
        <w:rPr>
          <w:rFonts w:ascii="Microsoft YaHei" w:hAnsi="Microsoft YaHei" w:eastAsia="Microsoft YaHei"/>
          <w:b/>
          <w:color w:val="1E40AF"/>
        </w:rPr>
        <w:t>研究区域</w:t>
      </w:r>
      <w:r>
        <w:rPr>
          <w:rFonts w:ascii="Microsoft YaHei" w:hAnsi="Microsoft YaHei" w:eastAsia="Microsoft YaHei"/>
        </w:rPr>
        <w:t>：上海市</w:t>
      </w:r>
    </w:p>
    <w:p>
      <w:r>
        <w:rPr>
          <w:rFonts w:ascii="Microsoft YaHei" w:hAnsi="Microsoft YaHei" w:eastAsia="Microsoft YaHei"/>
        </w:rPr>
      </w:r>
      <w:r>
        <w:rPr>
          <w:rFonts w:ascii="Microsoft YaHei" w:hAnsi="Microsoft YaHei" w:eastAsia="Microsoft YaHei"/>
          <w:b/>
          <w:color w:val="1E40AF"/>
        </w:rPr>
        <w:t>目标年份</w:t>
      </w:r>
      <w:r>
        <w:rPr>
          <w:rFonts w:ascii="Microsoft YaHei" w:hAnsi="Microsoft YaHei" w:eastAsia="Microsoft YaHei"/>
        </w:rPr>
        <w:t>：2025</w:t>
      </w:r>
    </w:p>
    <w:p>
      <w:r>
        <w:rPr>
          <w:rFonts w:ascii="Microsoft YaHei" w:hAnsi="Microsoft YaHei" w:eastAsia="Microsoft YaHei"/>
        </w:rPr>
      </w:r>
      <w:r>
        <w:rPr>
          <w:rFonts w:ascii="Microsoft YaHei" w:hAnsi="Microsoft YaHei" w:eastAsia="Microsoft YaHei"/>
          <w:b/>
          <w:color w:val="1E40AF"/>
        </w:rPr>
        <w:t>报告日期</w:t>
      </w:r>
      <w:r>
        <w:rPr>
          <w:rFonts w:ascii="Microsoft YaHei" w:hAnsi="Microsoft YaHei" w:eastAsia="Microsoft YaHei"/>
        </w:rPr>
        <w:t>：2026年01月06日</w:t>
      </w:r>
    </w:p>
    <w:p>
      <w:r>
        <w:rPr>
          <w:rFonts w:ascii="Microsoft YaHei" w:hAnsi="Microsoft YaHei" w:eastAsia="Microsoft YaHei"/>
        </w:rPr>
      </w:r>
      <w:r>
        <w:rPr>
          <w:rFonts w:ascii="Microsoft YaHei" w:hAnsi="Microsoft YaHei" w:eastAsia="Microsoft YaHei"/>
          <w:b/>
          <w:color w:val="1E40AF"/>
        </w:rPr>
        <w:t>研究侧重点</w:t>
      </w:r>
      <w:r>
        <w:rPr>
          <w:rFonts w:ascii="Microsoft YaHei" w:hAnsi="Microsoft YaHei" w:eastAsia="Microsoft YaHei"/>
        </w:rPr>
        <w:t>：重点关注市场空间(TAM)、竞争壁垒、商业模式、退出路径、财务回报。</w:t>
      </w:r>
    </w:p>
    <w:p>
      <w:r>
        <w:rPr>
          <w:rFonts w:ascii="Microsoft YaHei" w:hAnsi="Microsoft YaHei" w:eastAsia="Microsoft YaHei"/>
        </w:rPr>
        <w:t>重点关注上中下游结构、各环节价值分配、产业链投资机会、卡脖子环节。</w:t>
      </w:r>
    </w:p>
    <w:p>
      <w:r>
        <w:rPr>
          <w:rFonts w:ascii="Microsoft YaHei" w:hAnsi="Microsoft YaHei" w:eastAsia="Microsoft YaHei"/>
        </w:rPr>
        <w:t>【重点】请深度分析产业链上中下游结构，识别各环节投资机会，分析价值链分配。</w:t>
      </w:r>
    </w:p>
    <w:p>
      <w:pPr>
        <w:ind w:firstLine="0"/>
      </w:pPr>
      <w:r>
        <w:rPr>
          <w:color w:val="E5E7EB"/>
        </w:rPr>
        <w:t>──────────────────────────────────────────────────</w:t>
      </w:r>
    </w:p>
    <w:p>
      <w:pPr>
        <w:ind w:left="567" w:firstLine="0"/>
      </w:pPr>
      <w:r>
        <w:rPr>
          <w:rFonts w:ascii="Microsoft YaHei" w:hAnsi="Microsoft YaHei" w:eastAsia="Microsoft YaHei"/>
          <w:i/>
          <w:color w:val="1E40AF"/>
        </w:rPr>
        <w:t>**免责声明**：本报告基于公开信息和数据分析，仅供参考，不构成投资建议。投资者据此操作，风险自担。</w:t>
      </w:r>
    </w:p>
    <w:p>
      <w:pPr>
        <w:ind w:firstLine="0"/>
      </w:pPr>
      <w:r>
        <w:rPr>
          <w:color w:val="E5E7EB"/>
        </w:rPr>
        <w:t>──────────────────────────────────────────────────</w:t>
      </w:r>
    </w:p>
    <w:p>
      <w:r>
        <w:rPr>
          <w:rFonts w:ascii="Microsoft YaHei" w:hAnsi="Microsoft YaHei" w:eastAsia="Microsoft YaHei"/>
        </w:rPr>
        <w:t xml:space="preserve"># </w:t>
      </w:r>
      <w:r>
        <w:rPr>
          <w:rFonts w:ascii="Microsoft YaHei" w:hAnsi="Microsoft YaHei" w:eastAsia="Microsoft YaHei"/>
          <w:b/>
          <w:color w:val="1E40AF"/>
        </w:rPr>
        <w:t>上海市创新药产业链投资价值分析报告（2025年展望）</w:t>
      </w:r>
      <w:r>
        <w:rPr>
          <w:rFonts w:ascii="Microsoft YaHei" w:hAnsi="Microsoft YaHei" w:eastAsia="Microsoft YaHei"/>
        </w:rPr>
      </w:r>
    </w:p>
    <w:p>
      <w:pPr>
        <w:pStyle w:val="Heading2"/>
      </w:pPr>
      <w:r>
        <w:t>**免责声明**</w:t>
      </w:r>
    </w:p>
    <w:p>
      <w:r>
        <w:rPr>
          <w:rFonts w:ascii="Microsoft YaHei" w:hAnsi="Microsoft YaHei" w:eastAsia="Microsoft YaHei"/>
        </w:rPr>
        <w:t>本报告由专业研究团队基于公开信息、行业数据及深度分析撰写而成，旨在为投资者提供关于上海市创新药产业的系统性研究参考。报告中的所有信息、观点、结论及预测均基于截至报告撰写时的数据和认知，仅供参考，不构成任何投资建议或决策依据。投资者应结合自身情况独立判断，并对投资决策负全部责任。报告编制方对因使用本报告内容而产生的任何直接或间接损失不承担任何责任。本报告版权归编制方所有，未经书面许可，任何机构或个人不得以任何形式翻版、复制、转载或引用。</w:t>
      </w:r>
    </w:p>
    <w:p>
      <w:pPr>
        <w:ind w:firstLine="0"/>
      </w:pPr>
      <w:r>
        <w:rPr>
          <w:color w:val="E5E7EB"/>
        </w:rPr>
        <w:t>──────────────────────────────────────────────────</w:t>
      </w:r>
    </w:p>
    <w:p>
      <w:pPr>
        <w:pStyle w:val="Heading2"/>
      </w:pPr>
      <w:r>
        <w:t>**执行摘要**</w:t>
      </w:r>
    </w:p>
    <w:p>
      <w:pPr>
        <w:pStyle w:val="Heading3"/>
      </w:pPr>
      <w:r>
        <w:t>**研究背景与目的**</w:t>
      </w:r>
    </w:p>
    <w:p>
      <w:r>
        <w:rPr>
          <w:rFonts w:ascii="Microsoft YaHei" w:hAnsi="Microsoft YaHei" w:eastAsia="Microsoft YaHei"/>
        </w:rPr>
        <w:t>在全球医药产业向创新驱动深刻转型与中国“健康中国2030”战略深入推进的双重背景下，创新药已成为国家战略性新兴产业的核心支柱。上海市作为中国生物医药创新的策源地与高地，汇聚了全国顶尖的科研机构、资本与人才，其发展态势对全国具有风向标意义。本研究旨在以2025年为观察窗口，深度剖析上海市创新药产业的产业链结构与价值流动，核心聚焦于</w:t>
      </w:r>
      <w:r>
        <w:rPr>
          <w:rFonts w:ascii="Microsoft YaHei" w:hAnsi="Microsoft YaHei" w:eastAsia="Microsoft YaHei"/>
          <w:b/>
          <w:color w:val="1E40AF"/>
        </w:rPr>
        <w:t>市场空间（TAM）、竞争壁垒、商业模式、退出路径及财务回报</w:t>
      </w:r>
      <w:r>
        <w:rPr>
          <w:rFonts w:ascii="Microsoft YaHei" w:hAnsi="Microsoft YaHei" w:eastAsia="Microsoft YaHei"/>
        </w:rPr>
        <w:t>五大维度。通过系统解构产业上中下游，识别各环节的投资机会与“卡脖子”风险，本报告旨在为投资者绘制一幅清晰的投资地图，明确在行业分化与估值重构的新周期中，何处蕴藏价值，何处潜藏风险，从而为战略布局提供决策依据。</w:t>
      </w:r>
    </w:p>
    <w:p>
      <w:pPr>
        <w:pStyle w:val="Heading3"/>
      </w:pPr>
      <w:r>
        <w:t>**核心发现**</w:t>
      </w:r>
    </w:p>
    <w:p>
      <w:pPr>
        <w:pStyle w:val="ListNumber"/>
        <w:ind w:firstLine="0"/>
      </w:pPr>
      <w:r>
        <w:rPr>
          <w:rFonts w:ascii="Microsoft YaHei" w:hAnsi="Microsoft YaHei" w:eastAsia="Microsoft YaHei"/>
        </w:rPr>
        <w:t xml:space="preserve"> **市场空间广阔但增长逻辑生变，价值向临床优效与商业化能力集中。** 中国创新药市场在人口老龄化、未满足临床需求及医保支付改革支持下持续扩容，预计至2025年将保持双位数增长。然而，驱动增长的核心逻辑已从单纯的“管线数量”和“上市速度”转向“临床价值”与“商业化兑现能力”。医保谈判常态化与集采深化使得“me-too”药物利润空间被急剧压缩，而真正具备显著临床优势的FIC（首创新药）或BIC（同类最佳）药物则能获得更优定价与市场准入，市场呈现“冰火两重天”格局。投资需穿透管线表象，深度评估产品的差异化价值和企业的商业化体系。</w:t>
      </w:r>
    </w:p>
    <w:p>
      <w:pPr>
        <w:pStyle w:val="ListNumber"/>
        <w:ind w:firstLine="0"/>
      </w:pPr>
      <w:r>
        <w:rPr>
          <w:rFonts w:ascii="Microsoft YaHei" w:hAnsi="Microsoft YaHei" w:eastAsia="Microsoft YaHei"/>
        </w:rPr>
        <w:t xml:space="preserve"> **上海产业链呈现“研发强、制造弱”的哑铃型结构，价值分配向上游核心与下游龙头倾斜。** 上海在产业链中游的早期研发、临床前/临床CRO（合同研究组织）环节拥有绝对优势，集聚了全国约三分之一的生物医药研发机构和众多顶尖CRO企业，形成了强大的创新策源与外包服务生态。然而，在上游核心原材料、高端设备及下游大规模商业化生产（CMO/CDMO）环节，上海受制于土地、成本等因素，竞争力弱于江苏、广东等省份。从价值链分配看，上游因技术垄断享有最高毛利率（70%-90%）和最强议价权；中游CXO（CRO/CDMO）受益于研发外包趋势，商业模式清晰，现金流稳定；下游药企直面市场，规模最大但受政策冲击剧烈，利润向具备强大产品管线与销售能力的头部企业集中。</w:t>
      </w:r>
    </w:p>
    <w:p>
      <w:pPr>
        <w:pStyle w:val="ListNumber"/>
        <w:ind w:firstLine="0"/>
      </w:pPr>
      <w:r>
        <w:rPr>
          <w:rFonts w:ascii="Microsoft YaHei" w:hAnsi="Microsoft YaHei" w:eastAsia="Microsoft YaHei"/>
        </w:rPr>
        <w:t xml:space="preserve"> **“卡脖子”环节集中于上游，国产替代是确定性最高的投资主线之一。** 产业链最突出的安全缺口与价值洼地均位于上游。高端培养基、色谱填料、一次性生物反应器、核心酶与载体等关键物料与设备，国产化率普遍低于30%，严重依赖进口，存在供应链中断风险与技术封锁隐患。这些环节技术壁垒极高，属于典型的“硬科技”，一旦实现技术突破与国产化验证，企业将建立起深厚的护城河，享受高毛利和强议价能力。投资该领域需兼具耐心与专业眼光，聚焦那些已进入下游客户供应链或具备明确技术路径的领先企业。</w:t>
      </w:r>
    </w:p>
    <w:p>
      <w:pPr>
        <w:pStyle w:val="ListNumber"/>
        <w:ind w:firstLine="0"/>
      </w:pPr>
      <w:r>
        <w:rPr>
          <w:rFonts w:ascii="Microsoft YaHei" w:hAnsi="Microsoft YaHei" w:eastAsia="Microsoft YaHei"/>
        </w:rPr>
        <w:t xml:space="preserve"> **中游CXO行业分化加剧，平台化与差异化是胜出关键。** 上海作为CXO企业聚集地，行业正从“人力成本驱动”的泛化服务向“技术平台驱动”的深度绑定转型。同质化的常规研发服务面临价格竞争压力，而拥有ADC（抗体偶联药物）、双特异性抗体、细胞与基因治疗（CGT）、 PROTAC等前沿技术平台的CXO企业，则能深度参与客户研发过程，形成更强的客户粘性与更高的附加值。这类“卖水人”不仅分享行业增长红利，更能通过技术授权获得超额收益，投资吸引力最高。</w:t>
      </w:r>
    </w:p>
    <w:p>
      <w:pPr>
        <w:pStyle w:val="ListNumber"/>
        <w:ind w:firstLine="0"/>
      </w:pPr>
      <w:r>
        <w:rPr>
          <w:rFonts w:ascii="Microsoft YaHei" w:hAnsi="Microsoft YaHei" w:eastAsia="Microsoft YaHei"/>
        </w:rPr>
        <w:t xml:space="preserve"> **生物技术迭代为全产业链注入新动能，催生结构性投资机会。** ADC、双抗、CGT等新一代生物技术的蓬勃发展，不仅创造了新的治疗药物，更重塑了产业链需求。例如，ADC药物的爆发带动了对高毒性小分子payload、特殊 linker、偶联技术的需求；CGT的兴起则催生了对病毒载体、质粒、细胞工艺设备及特殊CDMO服务的巨大市场。这些新技术赛道尚处早期或快速成长期，为布局相关特色原材料供应商、设备商及专业服务商提供了宝贵的窗口期。</w:t>
      </w:r>
    </w:p>
    <w:p>
      <w:pPr>
        <w:pStyle w:val="ListNumber"/>
        <w:ind w:firstLine="0"/>
      </w:pPr>
      <w:r>
        <w:rPr>
          <w:rFonts w:ascii="Microsoft YaHei" w:hAnsi="Microsoft YaHei" w:eastAsia="Microsoft YaHei"/>
        </w:rPr>
        <w:t xml:space="preserve"> **企业生态呈现“金字塔”结构，投资需精准匹配企业生命周期与资本属性。** 上海创新药企生态中，顶部是如复星医药等少数完成“Biotech向BioPharma”跨越的综合型药企，具备全产业链能力；中部是大量拥有特色技术平台或差异化管线的Biotech公司，是创新活力的主要来源；底部则是众多管线同质化、缺乏核心竞争力的早期研发公司。当前资本市场估值体系正在纠偏，资金向头部和特色企业集中，尾部企业面临严峻的融资与生存挑战。投资需清晰识别企业所处阶段及其核心竞争力。</w:t>
      </w:r>
    </w:p>
    <w:p>
      <w:pPr>
        <w:pStyle w:val="ListNumber"/>
        <w:ind w:firstLine="0"/>
      </w:pPr>
      <w:r>
        <w:rPr>
          <w:rFonts w:ascii="Microsoft YaHei" w:hAnsi="Microsoft YaHei" w:eastAsia="Microsoft YaHei"/>
        </w:rPr>
        <w:t xml:space="preserve"> **退出路径多元化，并购整合将成为主流趋势。** 随着IPO审核（尤其是科创板第五套标准）趋严以及二级市场估值回归理性，单纯依靠IPO退出的预期已不现实。未来，产业并购整合将日益活跃。大型药企为补充管线、获取新技术，将对拥有临床后期资产或特色平台的Biotech进行并购；现金流健康的CXO企业也可能通过并购扩大规模或进入新领域。此外，技术授权（License-out）对于平台型技术公司而言，是一条重要的价值实现与现金流补充路径。</w:t>
      </w:r>
    </w:p>
    <w:p>
      <w:pPr>
        <w:pStyle w:val="ListNumber"/>
        <w:ind w:firstLine="0"/>
      </w:pPr>
      <w:r>
        <w:rPr>
          <w:rFonts w:ascii="Microsoft YaHei" w:hAnsi="Microsoft YaHei" w:eastAsia="Microsoft YaHei"/>
        </w:rPr>
        <w:t xml:space="preserve"> **区域竞合格局明确，上海需强化“研发-转化”链条。** 与江苏（强于制造）、广东（强于产业化与政策灵活性）、北京（强于基础科研）相比，上海的核心优势在于前端研发与临床资源。未来的发展关键在于如何将研发优势高效转化为产业优势，弥补在规模化生产制造和成本控制方面的短板。这为专注于“张江研发，上海周边或长三角生产”模式的服务商、以及致力于提升本地生物医药制造能级的技术与投资项目带来了机会。</w:t>
      </w:r>
    </w:p>
    <w:p>
      <w:pPr>
        <w:pStyle w:val="Heading3"/>
      </w:pPr>
      <w:r>
        <w:t>**投资要点**</w:t>
      </w:r>
    </w:p>
    <w:p>
      <w:pPr>
        <w:pStyle w:val="ListNumber"/>
        <w:ind w:firstLine="0"/>
      </w:pPr>
      <w:r>
        <w:rPr>
          <w:rFonts w:ascii="Microsoft YaHei" w:hAnsi="Microsoft YaHei" w:eastAsia="Microsoft YaHei"/>
        </w:rPr>
        <w:t xml:space="preserve"> **优先布局中游平台型CXO与上游国产化先锋。** 这是当前风险收益比相对更优的选择。**中游**应重点关注拥有ADC、CGT、双抗等前沿技术平台的CXO企业，其商业模式兼具成长性与防御性。**上游**则应聚焦于正在进行进口替代、且下游需求明确的高价值领域，如高性能色谱填料、无血清培养基、生物反应器控制系统等。这些环节的突破具有战略意义和商业价值。</w:t>
      </w:r>
    </w:p>
    <w:p>
      <w:pPr>
        <w:pStyle w:val="ListNumber"/>
        <w:ind w:firstLine="0"/>
      </w:pPr>
      <w:r>
        <w:rPr>
          <w:rFonts w:ascii="Microsoft YaHei" w:hAnsi="Microsoft YaHei" w:eastAsia="Microsoft YaHei"/>
        </w:rPr>
        <w:t xml:space="preserve"> **精选下游具备全球视野与商业化验证的龙头。** 在下游药企投资中，应规避管线拥挤、同质化严重的标的。转而关注：① 已有产品上市并展现出强大商业化能力，能持续产生现金流的公司；② 拥有全球权益（Global Rights）或已成功实现License-out的创新药企，其价值不受单一市场政策限制；③ 在特定专科领域（如肿瘤、自免）构建起深厚壁垒的专家型公司。</w:t>
      </w:r>
    </w:p>
    <w:p>
      <w:pPr>
        <w:pStyle w:val="ListNumber"/>
        <w:ind w:firstLine="0"/>
      </w:pPr>
      <w:r>
        <w:rPr>
          <w:rFonts w:ascii="Microsoft YaHei" w:hAnsi="Microsoft YaHei" w:eastAsia="Microsoft YaHei"/>
        </w:rPr>
        <w:t xml:space="preserve"> **把握2025年行业出清期的结构性布局时机。** 当前创新药行业正处于估值调整、资本退潮后的“出清期”，部分优质资产估值已进入合理甚至低估区间。对于长期投资者而言，2025年可能是布局那些拥有核心技术、差异化管线、且现金流管理良好的企业的战略窗口。投资应更注重资产的“质量”而非“故事”，利用市场悲观情绪逆向布局真正具备长期价值的环节与企业。</w:t>
      </w:r>
    </w:p>
    <w:p>
      <w:pPr>
        <w:pStyle w:val="Heading3"/>
      </w:pPr>
      <w:r>
        <w:t>**风险提示**</w:t>
      </w:r>
    </w:p>
    <w:p>
      <w:pPr>
        <w:pStyle w:val="ListNumber"/>
        <w:ind w:firstLine="0"/>
      </w:pPr>
      <w:r>
        <w:rPr>
          <w:rFonts w:ascii="Microsoft YaHei" w:hAnsi="Microsoft YaHei" w:eastAsia="Microsoft YaHei"/>
        </w:rPr>
        <w:t xml:space="preserve"> **研发与临床失败风险。** 创新药研发具有长周期、高投入、高风险的特点，任何阶段的临床失败都可能导致投资价值归零。需深度评估管线科学依据、临床数据以及竞争格局。</w:t>
      </w:r>
    </w:p>
    <w:p>
      <w:pPr>
        <w:pStyle w:val="ListNumber"/>
        <w:ind w:firstLine="0"/>
      </w:pPr>
      <w:r>
        <w:rPr>
          <w:rFonts w:ascii="Microsoft YaHei" w:hAnsi="Microsoft YaHei" w:eastAsia="Microsoft YaHei"/>
        </w:rPr>
        <w:t xml:space="preserve"> **政策与支付端压力超预期风险。** 医保控费主基调不变，国家医保谈判价格降幅可能持续处于高位，集采范围可能扩大至生物药及中成药，直接影响产品定价与利润空间。需关注企业的产品定价策略和医保应对能力。</w:t>
      </w:r>
    </w:p>
    <w:p>
      <w:pPr>
        <w:pStyle w:val="ListNumber"/>
        <w:ind w:firstLine="0"/>
      </w:pPr>
      <w:r>
        <w:rPr>
          <w:rFonts w:ascii="Microsoft YaHei" w:hAnsi="Microsoft YaHei" w:eastAsia="Microsoft YaHei"/>
        </w:rPr>
        <w:t xml:space="preserve"> **供应链安全与成本风险。** 上游关键原材料、设备、耗材的进口依赖度过高，地缘政治摩擦或全球供应链紊乱可能导致断供或成本急剧上升。投资上游国产替代企业本身也面临技术突破不及预期的风险。</w:t>
      </w:r>
    </w:p>
    <w:p>
      <w:pPr>
        <w:pStyle w:val="ListNumber"/>
        <w:ind w:firstLine="0"/>
      </w:pPr>
      <w:r>
        <w:rPr>
          <w:rFonts w:ascii="Microsoft YaHei" w:hAnsi="Microsoft YaHei" w:eastAsia="Microsoft YaHei"/>
        </w:rPr>
        <w:t xml:space="preserve"> **资本市场融资环境恶化风险。** 若一级市场持续遇冷，大量Biotech公司将面临融资困难，可能导致研发中断、裁员甚至破产，进而传导至为其服务的中游CXO行业，引发订单减少或坏账风险。</w:t>
      </w:r>
    </w:p>
    <w:p>
      <w:pPr>
        <w:pStyle w:val="ListNumber"/>
        <w:ind w:firstLine="0"/>
      </w:pPr>
      <w:r>
        <w:rPr>
          <w:rFonts w:ascii="Microsoft YaHei" w:hAnsi="Microsoft YaHei" w:eastAsia="Microsoft YaHei"/>
        </w:rPr>
        <w:t xml:space="preserve"> **同质化竞争与专利风险。** 在热门靶点（如PD-1）上的过度竞争将稀释市场利润，而专利挑战或侵权诉讼可能对产品上市及销售造成重大阻碍。需评估企业的知识产权布局与自由实施（FTO）情况。</w:t>
      </w:r>
    </w:p>
    <w:p>
      <w:pPr>
        <w:pStyle w:val="Heading3"/>
      </w:pPr>
      <w:r>
        <w:t>**核心数据汇总**</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e40af"/>
          </w:tcPr>
          <w:p>
            <w:pPr>
              <w:jc w:val="center"/>
            </w:pPr>
            <w:r>
              <w:rPr>
                <w:rFonts w:ascii="Microsoft YaHei" w:hAnsi="Microsoft YaHei" w:eastAsia="Microsoft YaHei"/>
                <w:b/>
                <w:color w:val="FFFFFF"/>
                <w:sz w:val="20"/>
              </w:rPr>
              <w:t>指标</w:t>
            </w:r>
          </w:p>
        </w:tc>
        <w:tc>
          <w:tcPr>
            <w:tcW w:type="dxa" w:w="2946"/>
            <w:shd w:fill="1e40af"/>
          </w:tcPr>
          <w:p>
            <w:pPr>
              <w:jc w:val="center"/>
            </w:pPr>
            <w:r>
              <w:rPr>
                <w:rFonts w:ascii="Microsoft YaHei" w:hAnsi="Microsoft YaHei" w:eastAsia="Microsoft YaHei"/>
                <w:b/>
                <w:color w:val="FFFFFF"/>
                <w:sz w:val="20"/>
              </w:rPr>
              <w:t>数值/描述</w:t>
            </w:r>
          </w:p>
        </w:tc>
        <w:tc>
          <w:tcPr>
            <w:tcW w:type="dxa" w:w="2946"/>
            <w:shd w:fill="1e40af"/>
          </w:tcPr>
          <w:p>
            <w:pPr>
              <w:jc w:val="center"/>
            </w:pPr>
            <w:r>
              <w:rPr>
                <w:rFonts w:ascii="Microsoft YaHei" w:hAnsi="Microsoft YaHei" w:eastAsia="Microsoft YaHei"/>
                <w:b/>
                <w:color w:val="FFFFFF"/>
                <w:sz w:val="20"/>
              </w:rPr>
              <w:t>说明</w:t>
            </w:r>
          </w:p>
        </w:tc>
      </w:tr>
      <w:tr>
        <w:tc>
          <w:tcPr>
            <w:tcW w:type="dxa" w:w="2946"/>
          </w:tcPr>
          <w:p>
            <w:pPr>
              <w:jc w:val="center"/>
            </w:pPr>
            <w:r>
              <w:rPr>
                <w:rFonts w:ascii="Microsoft YaHei" w:hAnsi="Microsoft YaHei" w:eastAsia="Microsoft YaHei"/>
                <w:sz w:val="20"/>
              </w:rPr>
              <w:t>**上海创新药产业链价值分配（估算）**</w:t>
            </w:r>
          </w:p>
        </w:tc>
        <w:tc>
          <w:tcPr>
            <w:tcW w:type="dxa" w:w="2946"/>
          </w:tcPr>
          <w:p>
            <w:pPr>
              <w:jc w:val="center"/>
            </w:pPr>
            <w:r>
              <w:rPr>
                <w:rFonts w:ascii="Microsoft YaHei" w:hAnsi="Microsoft YaHei" w:eastAsia="Microsoft YaHei"/>
                <w:sz w:val="20"/>
              </w:rPr>
              <w:t>上游：25% / 中游：35% / 下游：40%</w:t>
            </w:r>
          </w:p>
        </w:tc>
        <w:tc>
          <w:tcPr>
            <w:tcW w:type="dxa" w:w="2946"/>
          </w:tcPr>
          <w:p>
            <w:pPr>
              <w:jc w:val="center"/>
            </w:pPr>
            <w:r>
              <w:rPr>
                <w:rFonts w:ascii="Microsoft YaHei" w:hAnsi="Microsoft YaHei" w:eastAsia="Microsoft YaHei"/>
                <w:sz w:val="20"/>
              </w:rPr>
              <w:t>基于各环节研发投入强度、毛利率及净利率的综合估算，反映利润流向。</w:t>
            </w:r>
          </w:p>
        </w:tc>
      </w:tr>
      <w:tr>
        <w:tc>
          <w:tcPr>
            <w:tcW w:type="dxa" w:w="2946"/>
            <w:shd w:fill="f8fafc"/>
          </w:tcPr>
          <w:p>
            <w:pPr>
              <w:jc w:val="center"/>
            </w:pPr>
            <w:r>
              <w:rPr>
                <w:rFonts w:ascii="Microsoft YaHei" w:hAnsi="Microsoft YaHei" w:eastAsia="Microsoft YaHei"/>
                <w:sz w:val="20"/>
              </w:rPr>
              <w:t>**上游关键物料国产化率**</w:t>
            </w:r>
          </w:p>
        </w:tc>
        <w:tc>
          <w:tcPr>
            <w:tcW w:type="dxa" w:w="2946"/>
            <w:shd w:fill="f8fafc"/>
          </w:tcPr>
          <w:p>
            <w:pPr>
              <w:jc w:val="center"/>
            </w:pPr>
            <w:r>
              <w:rPr>
                <w:rFonts w:ascii="Microsoft YaHei" w:hAnsi="Microsoft YaHei" w:eastAsia="Microsoft YaHei"/>
                <w:sz w:val="20"/>
              </w:rPr>
              <w:t>&lt;30%</w:t>
            </w:r>
          </w:p>
        </w:tc>
        <w:tc>
          <w:tcPr>
            <w:tcW w:type="dxa" w:w="2946"/>
            <w:shd w:fill="f8fafc"/>
          </w:tcPr>
          <w:p>
            <w:pPr>
              <w:jc w:val="center"/>
            </w:pPr>
            <w:r>
              <w:rPr>
                <w:rFonts w:ascii="Microsoft YaHei" w:hAnsi="Microsoft YaHei" w:eastAsia="Microsoft YaHei"/>
                <w:sz w:val="20"/>
              </w:rPr>
              <w:t>指高端培养基、色谱填料、大型生物反应器等，凸显供应链安全缺口与投资机会。</w:t>
            </w:r>
          </w:p>
        </w:tc>
      </w:tr>
      <w:tr>
        <w:tc>
          <w:tcPr>
            <w:tcW w:type="dxa" w:w="2946"/>
          </w:tcPr>
          <w:p>
            <w:pPr>
              <w:jc w:val="center"/>
            </w:pPr>
            <w:r>
              <w:rPr>
                <w:rFonts w:ascii="Microsoft YaHei" w:hAnsi="Microsoft YaHei" w:eastAsia="Microsoft YaHei"/>
                <w:sz w:val="20"/>
              </w:rPr>
              <w:t>**中游特色CXO毛利率区间**</w:t>
            </w:r>
          </w:p>
        </w:tc>
        <w:tc>
          <w:tcPr>
            <w:tcW w:type="dxa" w:w="2946"/>
          </w:tcPr>
          <w:p>
            <w:pPr>
              <w:jc w:val="center"/>
            </w:pPr>
            <w:r>
              <w:rPr>
                <w:rFonts w:ascii="Microsoft YaHei" w:hAnsi="Microsoft YaHei" w:eastAsia="Microsoft YaHei"/>
                <w:sz w:val="20"/>
              </w:rPr>
              <w:t>45%-60%+</w:t>
            </w:r>
          </w:p>
        </w:tc>
        <w:tc>
          <w:tcPr>
            <w:tcW w:type="dxa" w:w="2946"/>
          </w:tcPr>
          <w:p>
            <w:pPr>
              <w:jc w:val="center"/>
            </w:pPr>
            <w:r>
              <w:rPr>
                <w:rFonts w:ascii="Microsoft YaHei" w:hAnsi="Microsoft YaHei" w:eastAsia="Microsoft YaHei"/>
                <w:sz w:val="20"/>
              </w:rPr>
              <w:t>平台型、技术驱动型CXO企业毛利率高于传统服务型CXO，显示差异化价值。</w:t>
            </w:r>
          </w:p>
        </w:tc>
      </w:tr>
      <w:tr>
        <w:tc>
          <w:tcPr>
            <w:tcW w:type="dxa" w:w="2946"/>
            <w:shd w:fill="f8fafc"/>
          </w:tcPr>
          <w:p>
            <w:pPr>
              <w:jc w:val="center"/>
            </w:pPr>
            <w:r>
              <w:rPr>
                <w:rFonts w:ascii="Microsoft YaHei" w:hAnsi="Microsoft YaHei" w:eastAsia="Microsoft YaHei"/>
                <w:sz w:val="20"/>
              </w:rPr>
              <w:t>**下游创新药医保谈判平均价格降幅（近年）**</w:t>
            </w:r>
          </w:p>
        </w:tc>
        <w:tc>
          <w:tcPr>
            <w:tcW w:type="dxa" w:w="2946"/>
            <w:shd w:fill="f8fafc"/>
          </w:tcPr>
          <w:p>
            <w:pPr>
              <w:jc w:val="center"/>
            </w:pPr>
            <w:r>
              <w:rPr>
                <w:rFonts w:ascii="Microsoft YaHei" w:hAnsi="Microsoft YaHei" w:eastAsia="Microsoft YaHei"/>
                <w:sz w:val="20"/>
              </w:rPr>
              <w:t>50%-60%</w:t>
            </w:r>
          </w:p>
        </w:tc>
        <w:tc>
          <w:tcPr>
            <w:tcW w:type="dxa" w:w="2946"/>
            <w:shd w:fill="f8fafc"/>
          </w:tcPr>
          <w:p>
            <w:pPr>
              <w:jc w:val="center"/>
            </w:pPr>
            <w:r>
              <w:rPr>
                <w:rFonts w:ascii="Microsoft YaHei" w:hAnsi="Microsoft YaHei" w:eastAsia="Microsoft YaHei"/>
                <w:sz w:val="20"/>
              </w:rPr>
              <w:t>体现支付端强大压力，驱动企业追求更高临床价值和成本控制。</w:t>
            </w:r>
          </w:p>
        </w:tc>
      </w:tr>
      <w:tr>
        <w:tc>
          <w:tcPr>
            <w:tcW w:type="dxa" w:w="2946"/>
          </w:tcPr>
          <w:p>
            <w:pPr>
              <w:jc w:val="center"/>
            </w:pPr>
            <w:r>
              <w:rPr>
                <w:rFonts w:ascii="Microsoft YaHei" w:hAnsi="Microsoft YaHei" w:eastAsia="Microsoft YaHei"/>
                <w:sz w:val="20"/>
              </w:rPr>
              <w:t>**上海生物医药产业规模（2023年）**</w:t>
            </w:r>
          </w:p>
        </w:tc>
        <w:tc>
          <w:tcPr>
            <w:tcW w:type="dxa" w:w="2946"/>
          </w:tcPr>
          <w:p>
            <w:pPr>
              <w:jc w:val="center"/>
            </w:pPr>
            <w:r>
              <w:rPr>
                <w:rFonts w:ascii="Microsoft YaHei" w:hAnsi="Microsoft YaHei" w:eastAsia="Microsoft YaHei"/>
                <w:sz w:val="20"/>
              </w:rPr>
              <w:t>超9000亿元</w:t>
            </w:r>
          </w:p>
        </w:tc>
        <w:tc>
          <w:tcPr>
            <w:tcW w:type="dxa" w:w="2946"/>
          </w:tcPr>
          <w:p>
            <w:pPr>
              <w:jc w:val="center"/>
            </w:pPr>
            <w:r>
              <w:rPr>
                <w:rFonts w:ascii="Microsoft YaHei" w:hAnsi="Microsoft YaHei" w:eastAsia="Microsoft YaHei"/>
                <w:sz w:val="20"/>
              </w:rPr>
              <w:t>巩固其全国领先地位，产业基础雄厚。</w:t>
            </w:r>
          </w:p>
        </w:tc>
      </w:tr>
      <w:tr>
        <w:tc>
          <w:tcPr>
            <w:tcW w:type="dxa" w:w="2946"/>
            <w:shd w:fill="f8fafc"/>
          </w:tcPr>
          <w:p>
            <w:pPr>
              <w:jc w:val="center"/>
            </w:pPr>
            <w:r>
              <w:rPr>
                <w:rFonts w:ascii="Microsoft YaHei" w:hAnsi="Microsoft YaHei" w:eastAsia="Microsoft YaHei"/>
                <w:sz w:val="20"/>
              </w:rPr>
              <w:t>**推荐环节投资吸引力排序**</w:t>
            </w:r>
          </w:p>
        </w:tc>
        <w:tc>
          <w:tcPr>
            <w:tcW w:type="dxa" w:w="2946"/>
            <w:shd w:fill="f8fafc"/>
          </w:tcPr>
          <w:p>
            <w:pPr>
              <w:jc w:val="center"/>
            </w:pPr>
            <w:r>
              <w:rPr>
                <w:rFonts w:ascii="Microsoft YaHei" w:hAnsi="Microsoft YaHei" w:eastAsia="Microsoft YaHei"/>
                <w:sz w:val="20"/>
              </w:rPr>
              <w:t>1. 中游（平台CXO） 2. 上游（国产替代） 3. 下游（全球化药企）</w:t>
            </w:r>
          </w:p>
        </w:tc>
        <w:tc>
          <w:tcPr>
            <w:tcW w:type="dxa" w:w="2946"/>
            <w:shd w:fill="f8fafc"/>
          </w:tcPr>
          <w:p>
            <w:pPr>
              <w:jc w:val="center"/>
            </w:pPr>
            <w:r>
              <w:rPr>
                <w:rFonts w:ascii="Microsoft YaHei" w:hAnsi="Microsoft YaHei" w:eastAsia="Microsoft YaHei"/>
                <w:sz w:val="20"/>
              </w:rPr>
              <w:t>综合增长确定性、壁垒、风险后的策略建议。</w:t>
            </w:r>
          </w:p>
        </w:tc>
      </w:tr>
      <w:tr>
        <w:tc>
          <w:tcPr>
            <w:tcW w:type="dxa" w:w="2946"/>
          </w:tcPr>
          <w:p>
            <w:pPr>
              <w:jc w:val="center"/>
            </w:pPr>
            <w:r>
              <w:rPr>
                <w:rFonts w:ascii="Microsoft YaHei" w:hAnsi="Microsoft YaHei" w:eastAsia="Microsoft YaHei"/>
                <w:sz w:val="20"/>
              </w:rPr>
              <w:t>**2025年行业预测增速**</w:t>
            </w:r>
          </w:p>
        </w:tc>
        <w:tc>
          <w:tcPr>
            <w:tcW w:type="dxa" w:w="2946"/>
          </w:tcPr>
          <w:p>
            <w:pPr>
              <w:jc w:val="center"/>
            </w:pPr>
            <w:r>
              <w:rPr>
                <w:rFonts w:ascii="Microsoft YaHei" w:hAnsi="Microsoft YaHei" w:eastAsia="Microsoft YaHei"/>
                <w:sz w:val="20"/>
              </w:rPr>
              <w:t>10%-15%</w:t>
            </w:r>
          </w:p>
        </w:tc>
        <w:tc>
          <w:tcPr>
            <w:tcW w:type="dxa" w:w="2946"/>
          </w:tcPr>
          <w:p>
            <w:pPr>
              <w:jc w:val="center"/>
            </w:pPr>
            <w:r>
              <w:rPr>
                <w:rFonts w:ascii="Microsoft YaHei" w:hAnsi="Microsoft YaHei" w:eastAsia="Microsoft YaHei"/>
                <w:sz w:val="20"/>
              </w:rPr>
              <w:t>整体市场仍将保持增长，但内部结构分化加剧。</w:t>
            </w:r>
          </w:p>
        </w:tc>
      </w:tr>
      <w:tr>
        <w:tc>
          <w:tcPr>
            <w:tcW w:type="dxa" w:w="2946"/>
            <w:shd w:fill="f8fafc"/>
          </w:tcPr>
          <w:p>
            <w:pPr>
              <w:jc w:val="center"/>
            </w:pPr>
            <w:r>
              <w:rPr>
                <w:rFonts w:ascii="Microsoft YaHei" w:hAnsi="Microsoft YaHei" w:eastAsia="Microsoft YaHei"/>
                <w:sz w:val="20"/>
              </w:rPr>
              <w:t>**产业链风险等级最高环节**</w:t>
            </w:r>
          </w:p>
        </w:tc>
        <w:tc>
          <w:tcPr>
            <w:tcW w:type="dxa" w:w="2946"/>
            <w:shd w:fill="f8fafc"/>
          </w:tcPr>
          <w:p>
            <w:pPr>
              <w:jc w:val="center"/>
            </w:pPr>
            <w:r>
              <w:rPr>
                <w:rFonts w:ascii="Microsoft YaHei" w:hAnsi="Microsoft YaHei" w:eastAsia="Microsoft YaHei"/>
                <w:sz w:val="20"/>
              </w:rPr>
              <w:t>上游（技术风险）与下游（政策与竞争风险）</w:t>
            </w:r>
          </w:p>
        </w:tc>
        <w:tc>
          <w:tcPr>
            <w:tcW w:type="dxa" w:w="2946"/>
            <w:shd w:fill="f8fafc"/>
          </w:tcPr>
          <w:p>
            <w:pPr>
              <w:jc w:val="center"/>
            </w:pPr>
            <w:r>
              <w:rPr>
                <w:rFonts w:ascii="Microsoft YaHei" w:hAnsi="Microsoft YaHei" w:eastAsia="Microsoft YaHei"/>
                <w:sz w:val="20"/>
              </w:rPr>
              <w:t>上游风险源于技术突破不确定性，下游风险源于市场与政策波动。</w:t>
            </w:r>
          </w:p>
        </w:tc>
      </w:tr>
    </w:tbl>
    <w:p/>
    <w:p>
      <w:pPr>
        <w:ind w:firstLine="0"/>
      </w:pPr>
      <w:r>
        <w:rPr>
          <w:color w:val="E5E7EB"/>
        </w:rPr>
        <w:t>──────────────────────────────────────────────────</w:t>
      </w:r>
    </w:p>
    <w:p>
      <w:pPr>
        <w:pStyle w:val="Heading2"/>
      </w:pPr>
      <w:r>
        <w:t>**第一章：研究范围界定——定义、边界与投资视角**</w:t>
      </w:r>
    </w:p>
    <w:p>
      <w:pPr>
        <w:pStyle w:val="Heading3"/>
      </w:pPr>
      <w:r>
        <w:t>**一、核心结论**</w:t>
      </w:r>
    </w:p>
    <w:p>
      <w:pPr>
        <w:pStyle w:val="ListNumber"/>
        <w:ind w:firstLine="0"/>
      </w:pPr>
      <w:r>
        <w:rPr>
          <w:rFonts w:ascii="Microsoft YaHei" w:hAnsi="Microsoft YaHei" w:eastAsia="Microsoft YaHei"/>
        </w:rPr>
        <w:t xml:space="preserve"> **本报告将“创新药”明确定义为具有自主知识产权、全球或中国范围内首次上市的化学药与生物药，并重点纳入细胞与基因治疗等前沿疗法，而将仿制药、中药及医疗器械排除在外。** 这一定义框定了高研发投入、高回报潜力但也伴随高风险的真正“创新”范畴，是评估市场空间和投资价值的基础。</w:t>
      </w:r>
    </w:p>
    <w:p>
      <w:pPr>
        <w:pStyle w:val="ListNumber"/>
        <w:ind w:firstLine="0"/>
      </w:pPr>
      <w:r>
        <w:rPr>
          <w:rFonts w:ascii="Microsoft YaHei" w:hAnsi="Microsoft YaHei" w:eastAsia="Microsoft YaHei"/>
        </w:rPr>
        <w:t xml:space="preserve"> **“上海市创新药产业”的界定以研发主体和核心运营功能所在地为核心标准，而非简单的工商注册地或生产基地。** 这意味着大量在上海张江等地设立研发中心、但生产基地位于外省的企业，其核心创新价值仍计入上海产业版图，这更真实地反映了上海作为“中国药谷”的研发枢纽地位。</w:t>
      </w:r>
    </w:p>
    <w:p>
      <w:pPr>
        <w:pStyle w:val="ListNumber"/>
        <w:ind w:firstLine="0"/>
      </w:pPr>
      <w:r>
        <w:rPr>
          <w:rFonts w:ascii="Microsoft YaHei" w:hAnsi="Microsoft YaHei" w:eastAsia="Microsoft YaHei"/>
        </w:rPr>
        <w:t xml:space="preserve"> **本报告的研究时间边界聚焦于当前现状（以2024年为基准）至2025年的预测与展望，地理边界则以上海市为核心，同时进行全国对标分析。** 这种设定旨在捕捉行业在估值调整与政策深化期的关键变化，并为2025年的投资布局提供前瞻性指引，明确上海在全国创新药版图中的独特坐标。</w:t>
      </w:r>
    </w:p>
    <w:p>
      <w:pPr>
        <w:pStyle w:val="ListNumber"/>
        <w:ind w:firstLine="0"/>
      </w:pPr>
      <w:r>
        <w:rPr>
          <w:rFonts w:ascii="Microsoft YaHei" w:hAnsi="Microsoft YaHei" w:eastAsia="Microsoft YaHei"/>
        </w:rPr>
        <w:t xml:space="preserve"> **从投资视角看，明确的定义与边界是规避“泛创新”概念泡沫、精准识别具备核心技术壁垒和商业化潜力的标的的首要前提。** 它直接决定了后续市场规模测算、产业链分析及竞争格局研究的准确性与投资指导意义。</w:t>
      </w:r>
    </w:p>
    <w:p>
      <w:pPr>
        <w:pStyle w:val="Heading3"/>
      </w:pPr>
      <w:r>
        <w:t>**二、关键事实与数据**</w:t>
      </w:r>
    </w:p>
    <w:p>
      <w:r>
        <w:rPr>
          <w:rFonts w:ascii="Microsoft YaHei" w:hAnsi="Microsoft YaHei" w:eastAsia="Microsoft YaHei"/>
        </w:rPr>
      </w:r>
      <w:r>
        <w:rPr>
          <w:rFonts w:ascii="Microsoft YaHei" w:hAnsi="Microsoft YaHei" w:eastAsia="Microsoft YaHei"/>
          <w:b/>
          <w:color w:val="1E40AF"/>
        </w:rPr>
        <w:t>表 1-1：创新药分类及本报告研究范围界定表</w:t>
      </w:r>
      <w:r>
        <w:rPr>
          <w:rFonts w:ascii="Microsoft YaHei" w:hAnsi="Microsoft YaHei" w:eastAsia="Microsoft YaHei"/>
        </w:rPr>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1e40af"/>
          </w:tcPr>
          <w:p>
            <w:pPr>
              <w:jc w:val="center"/>
            </w:pPr>
            <w:r>
              <w:rPr>
                <w:rFonts w:ascii="Microsoft YaHei" w:hAnsi="Microsoft YaHei" w:eastAsia="Microsoft YaHei"/>
                <w:b/>
                <w:color w:val="FFFFFF"/>
                <w:sz w:val="20"/>
              </w:rPr>
              <w:t>药品大类</w:t>
            </w:r>
          </w:p>
        </w:tc>
        <w:tc>
          <w:tcPr>
            <w:tcW w:type="dxa" w:w="2209"/>
            <w:shd w:fill="1e40af"/>
          </w:tcPr>
          <w:p>
            <w:pPr>
              <w:jc w:val="center"/>
            </w:pPr>
            <w:r>
              <w:rPr>
                <w:rFonts w:ascii="Microsoft YaHei" w:hAnsi="Microsoft YaHei" w:eastAsia="Microsoft YaHei"/>
                <w:b/>
                <w:color w:val="FFFFFF"/>
                <w:sz w:val="20"/>
              </w:rPr>
              <w:t>细分类型</w:t>
            </w:r>
          </w:p>
        </w:tc>
        <w:tc>
          <w:tcPr>
            <w:tcW w:type="dxa" w:w="2209"/>
            <w:shd w:fill="1e40af"/>
          </w:tcPr>
          <w:p>
            <w:pPr>
              <w:jc w:val="center"/>
            </w:pPr>
            <w:r>
              <w:rPr>
                <w:rFonts w:ascii="Microsoft YaHei" w:hAnsi="Microsoft YaHei" w:eastAsia="Microsoft YaHei"/>
                <w:b/>
                <w:color w:val="FFFFFF"/>
                <w:sz w:val="20"/>
              </w:rPr>
              <w:t>是否纳入本报告研究</w:t>
            </w:r>
          </w:p>
        </w:tc>
        <w:tc>
          <w:tcPr>
            <w:tcW w:type="dxa" w:w="2209"/>
            <w:shd w:fill="1e40af"/>
          </w:tcPr>
          <w:p>
            <w:pPr>
              <w:jc w:val="center"/>
            </w:pPr>
            <w:r>
              <w:rPr>
                <w:rFonts w:ascii="Microsoft YaHei" w:hAnsi="Microsoft YaHei" w:eastAsia="Microsoft YaHei"/>
                <w:b/>
                <w:color w:val="FFFFFF"/>
                <w:sz w:val="20"/>
              </w:rPr>
              <w:t>纳入理由 / 排除理由</w:t>
            </w:r>
          </w:p>
        </w:tc>
      </w:tr>
      <w:tr>
        <w:tc>
          <w:tcPr>
            <w:tcW w:type="dxa" w:w="2209"/>
          </w:tcPr>
          <w:p>
            <w:pPr>
              <w:jc w:val="center"/>
            </w:pPr>
            <w:r>
              <w:rPr>
                <w:rFonts w:ascii="Microsoft YaHei" w:hAnsi="Microsoft YaHei" w:eastAsia="Microsoft YaHei"/>
                <w:sz w:val="20"/>
              </w:rPr>
              <w:t>**化学药**</w:t>
            </w:r>
          </w:p>
        </w:tc>
        <w:tc>
          <w:tcPr>
            <w:tcW w:type="dxa" w:w="2209"/>
          </w:tcPr>
          <w:p>
            <w:pPr>
              <w:jc w:val="center"/>
            </w:pPr>
            <w:r>
              <w:rPr>
                <w:rFonts w:ascii="Microsoft YaHei" w:hAnsi="Microsoft YaHei" w:eastAsia="Microsoft YaHei"/>
                <w:sz w:val="20"/>
              </w:rPr>
              <w:t>小分子创新药（First-in-class, Best-in-class）</w:t>
            </w:r>
          </w:p>
        </w:tc>
        <w:tc>
          <w:tcPr>
            <w:tcW w:type="dxa" w:w="2209"/>
          </w:tcPr>
          <w:p>
            <w:pPr>
              <w:jc w:val="center"/>
            </w:pPr>
            <w:r>
              <w:rPr>
                <w:rFonts w:ascii="Microsoft YaHei" w:hAnsi="Microsoft YaHei" w:eastAsia="Microsoft YaHei"/>
                <w:sz w:val="20"/>
              </w:rPr>
              <w:t>**是**</w:t>
            </w:r>
          </w:p>
        </w:tc>
        <w:tc>
          <w:tcPr>
            <w:tcW w:type="dxa" w:w="2209"/>
          </w:tcPr>
          <w:p>
            <w:pPr>
              <w:jc w:val="center"/>
            </w:pPr>
            <w:r>
              <w:rPr>
                <w:rFonts w:ascii="Microsoft YaHei" w:hAnsi="Microsoft YaHei" w:eastAsia="Microsoft YaHei"/>
                <w:sz w:val="20"/>
              </w:rPr>
              <w:t>仍是创新药重要组成部分，研发逻辑清晰，存在未满足临床需求的迭代机会。</w:t>
            </w:r>
          </w:p>
        </w:tc>
      </w:tr>
      <w:tr>
        <w:tc>
          <w:tcPr>
            <w:tcW w:type="dxa" w:w="2209"/>
            <w:shd w:fill="f8fafc"/>
          </w:tcPr>
          <w:p>
            <w:pPr>
              <w:jc w:val="center"/>
            </w:pPr>
            <w:r>
              <w:rPr>
                <w:rFonts w:ascii="Microsoft YaHei" w:hAnsi="Microsoft YaHei" w:eastAsia="Microsoft YaHei"/>
                <w:sz w:val="20"/>
              </w:rPr>
            </w:r>
          </w:p>
        </w:tc>
        <w:tc>
          <w:tcPr>
            <w:tcW w:type="dxa" w:w="2209"/>
            <w:shd w:fill="f8fafc"/>
          </w:tcPr>
          <w:p>
            <w:pPr>
              <w:jc w:val="center"/>
            </w:pPr>
            <w:r>
              <w:rPr>
                <w:rFonts w:ascii="Microsoft YaHei" w:hAnsi="Microsoft YaHei" w:eastAsia="Microsoft YaHei"/>
                <w:sz w:val="20"/>
              </w:rPr>
              <w:t>改良型新药（新剂型、新复方等）</w:t>
            </w:r>
          </w:p>
        </w:tc>
        <w:tc>
          <w:tcPr>
            <w:tcW w:type="dxa" w:w="2209"/>
            <w:shd w:fill="f8fafc"/>
          </w:tcPr>
          <w:p>
            <w:pPr>
              <w:jc w:val="center"/>
            </w:pPr>
            <w:r>
              <w:rPr>
                <w:rFonts w:ascii="Microsoft YaHei" w:hAnsi="Microsoft YaHei" w:eastAsia="Microsoft YaHei"/>
                <w:sz w:val="20"/>
              </w:rPr>
              <w:t>**部分纳入**</w:t>
            </w:r>
          </w:p>
        </w:tc>
        <w:tc>
          <w:tcPr>
            <w:tcW w:type="dxa" w:w="2209"/>
            <w:shd w:fill="f8fafc"/>
          </w:tcPr>
          <w:p>
            <w:pPr>
              <w:jc w:val="center"/>
            </w:pPr>
            <w:r>
              <w:rPr>
                <w:rFonts w:ascii="Microsoft YaHei" w:hAnsi="Microsoft YaHei" w:eastAsia="Microsoft YaHei"/>
                <w:sz w:val="20"/>
              </w:rPr>
              <w:t>仅纳入具有显著临床优势、属于注册分类2.4类的改良型新药。简单剂型改良排除。</w:t>
            </w:r>
          </w:p>
        </w:tc>
      </w:tr>
      <w:tr>
        <w:tc>
          <w:tcPr>
            <w:tcW w:type="dxa" w:w="2209"/>
          </w:tcPr>
          <w:p>
            <w:pPr>
              <w:jc w:val="center"/>
            </w:pPr>
            <w:r>
              <w:rPr>
                <w:rFonts w:ascii="Microsoft YaHei" w:hAnsi="Microsoft YaHei" w:eastAsia="Microsoft YaHei"/>
                <w:sz w:val="20"/>
              </w:rPr>
            </w:r>
          </w:p>
        </w:tc>
        <w:tc>
          <w:tcPr>
            <w:tcW w:type="dxa" w:w="2209"/>
          </w:tcPr>
          <w:p>
            <w:pPr>
              <w:jc w:val="center"/>
            </w:pPr>
            <w:r>
              <w:rPr>
                <w:rFonts w:ascii="Microsoft YaHei" w:hAnsi="Microsoft YaHei" w:eastAsia="Microsoft YaHei"/>
                <w:sz w:val="20"/>
              </w:rPr>
              <w:t>仿制药</w:t>
            </w:r>
          </w:p>
        </w:tc>
        <w:tc>
          <w:tcPr>
            <w:tcW w:type="dxa" w:w="2209"/>
          </w:tcPr>
          <w:p>
            <w:pPr>
              <w:jc w:val="center"/>
            </w:pPr>
            <w:r>
              <w:rPr>
                <w:rFonts w:ascii="Microsoft YaHei" w:hAnsi="Microsoft YaHei" w:eastAsia="Microsoft YaHei"/>
                <w:sz w:val="20"/>
              </w:rPr>
              <w:t>**否**</w:t>
            </w:r>
          </w:p>
        </w:tc>
        <w:tc>
          <w:tcPr>
            <w:tcW w:type="dxa" w:w="2209"/>
          </w:tcPr>
          <w:p>
            <w:pPr>
              <w:jc w:val="center"/>
            </w:pPr>
            <w:r>
              <w:rPr>
                <w:rFonts w:ascii="Microsoft YaHei" w:hAnsi="Microsoft YaHei" w:eastAsia="Microsoft YaHei"/>
                <w:sz w:val="20"/>
              </w:rPr>
              <w:t>不属于“创新”范畴，商业模式、估值逻辑与创新药有本质区别。</w:t>
            </w:r>
          </w:p>
        </w:tc>
      </w:tr>
      <w:tr>
        <w:tc>
          <w:tcPr>
            <w:tcW w:type="dxa" w:w="2209"/>
            <w:shd w:fill="f8fafc"/>
          </w:tcPr>
          <w:p>
            <w:pPr>
              <w:jc w:val="center"/>
            </w:pPr>
            <w:r>
              <w:rPr>
                <w:rFonts w:ascii="Microsoft YaHei" w:hAnsi="Microsoft YaHei" w:eastAsia="Microsoft YaHei"/>
                <w:sz w:val="20"/>
              </w:rPr>
              <w:t>**生物药**</w:t>
            </w:r>
          </w:p>
        </w:tc>
        <w:tc>
          <w:tcPr>
            <w:tcW w:type="dxa" w:w="2209"/>
            <w:shd w:fill="f8fafc"/>
          </w:tcPr>
          <w:p>
            <w:pPr>
              <w:jc w:val="center"/>
            </w:pPr>
            <w:r>
              <w:rPr>
                <w:rFonts w:ascii="Microsoft YaHei" w:hAnsi="Microsoft YaHei" w:eastAsia="Microsoft YaHei"/>
                <w:sz w:val="20"/>
              </w:rPr>
              <w:t>单克隆抗体（单抗）</w:t>
            </w:r>
          </w:p>
        </w:tc>
        <w:tc>
          <w:tcPr>
            <w:tcW w:type="dxa" w:w="2209"/>
            <w:shd w:fill="f8fafc"/>
          </w:tcPr>
          <w:p>
            <w:pPr>
              <w:jc w:val="center"/>
            </w:pPr>
            <w:r>
              <w:rPr>
                <w:rFonts w:ascii="Microsoft YaHei" w:hAnsi="Microsoft YaHei" w:eastAsia="Microsoft YaHei"/>
                <w:sz w:val="20"/>
              </w:rPr>
              <w:t>**是**</w:t>
            </w:r>
          </w:p>
        </w:tc>
        <w:tc>
          <w:tcPr>
            <w:tcW w:type="dxa" w:w="2209"/>
            <w:shd w:fill="f8fafc"/>
          </w:tcPr>
          <w:p>
            <w:pPr>
              <w:jc w:val="center"/>
            </w:pPr>
            <w:r>
              <w:rPr>
                <w:rFonts w:ascii="Microsoft YaHei" w:hAnsi="Microsoft YaHei" w:eastAsia="Microsoft YaHei"/>
                <w:sz w:val="20"/>
              </w:rPr>
              <w:t>生物药的主流和基石，技术成熟但仍在靶点、适应症上持续创新。</w:t>
            </w:r>
          </w:p>
        </w:tc>
      </w:tr>
      <w:tr>
        <w:tc>
          <w:tcPr>
            <w:tcW w:type="dxa" w:w="2209"/>
          </w:tcPr>
          <w:p>
            <w:pPr>
              <w:jc w:val="center"/>
            </w:pPr>
            <w:r>
              <w:rPr>
                <w:rFonts w:ascii="Microsoft YaHei" w:hAnsi="Microsoft YaHei" w:eastAsia="Microsoft YaHei"/>
                <w:sz w:val="20"/>
              </w:rPr>
            </w:r>
          </w:p>
        </w:tc>
        <w:tc>
          <w:tcPr>
            <w:tcW w:type="dxa" w:w="2209"/>
          </w:tcPr>
          <w:p>
            <w:pPr>
              <w:jc w:val="center"/>
            </w:pPr>
            <w:r>
              <w:rPr>
                <w:rFonts w:ascii="Microsoft YaHei" w:hAnsi="Microsoft YaHei" w:eastAsia="Microsoft YaHei"/>
                <w:sz w:val="20"/>
              </w:rPr>
              <w:t>双特异性/多特异性抗体</w:t>
            </w:r>
          </w:p>
        </w:tc>
        <w:tc>
          <w:tcPr>
            <w:tcW w:type="dxa" w:w="2209"/>
          </w:tcPr>
          <w:p>
            <w:pPr>
              <w:jc w:val="center"/>
            </w:pPr>
            <w:r>
              <w:rPr>
                <w:rFonts w:ascii="Microsoft YaHei" w:hAnsi="Microsoft YaHei" w:eastAsia="Microsoft YaHei"/>
                <w:sz w:val="20"/>
              </w:rPr>
              <w:t>**是**</w:t>
            </w:r>
          </w:p>
        </w:tc>
        <w:tc>
          <w:tcPr>
            <w:tcW w:type="dxa" w:w="2209"/>
          </w:tcPr>
          <w:p>
            <w:pPr>
              <w:jc w:val="center"/>
            </w:pPr>
            <w:r>
              <w:rPr>
                <w:rFonts w:ascii="Microsoft YaHei" w:hAnsi="Microsoft YaHei" w:eastAsia="Microsoft YaHei"/>
                <w:sz w:val="20"/>
              </w:rPr>
              <w:t>代表下一代抗体技术方向，技术壁垒高，是当前研发热点。</w:t>
            </w:r>
          </w:p>
        </w:tc>
      </w:tr>
      <w:tr>
        <w:tc>
          <w:tcPr>
            <w:tcW w:type="dxa" w:w="2209"/>
            <w:shd w:fill="f8fafc"/>
          </w:tcPr>
          <w:p>
            <w:pPr>
              <w:jc w:val="center"/>
            </w:pPr>
            <w:r>
              <w:rPr>
                <w:rFonts w:ascii="Microsoft YaHei" w:hAnsi="Microsoft YaHei" w:eastAsia="Microsoft YaHei"/>
                <w:sz w:val="20"/>
              </w:rPr>
            </w:r>
          </w:p>
        </w:tc>
        <w:tc>
          <w:tcPr>
            <w:tcW w:type="dxa" w:w="2209"/>
            <w:shd w:fill="f8fafc"/>
          </w:tcPr>
          <w:p>
            <w:pPr>
              <w:jc w:val="center"/>
            </w:pPr>
            <w:r>
              <w:rPr>
                <w:rFonts w:ascii="Microsoft YaHei" w:hAnsi="Microsoft YaHei" w:eastAsia="Microsoft YaHei"/>
                <w:sz w:val="20"/>
              </w:rPr>
              <w:t>抗体偶联药物（ADC）</w:t>
            </w:r>
          </w:p>
        </w:tc>
        <w:tc>
          <w:tcPr>
            <w:tcW w:type="dxa" w:w="2209"/>
            <w:shd w:fill="f8fafc"/>
          </w:tcPr>
          <w:p>
            <w:pPr>
              <w:jc w:val="center"/>
            </w:pPr>
            <w:r>
              <w:rPr>
                <w:rFonts w:ascii="Microsoft YaHei" w:hAnsi="Microsoft YaHei" w:eastAsia="Microsoft YaHei"/>
                <w:sz w:val="20"/>
              </w:rPr>
              <w:t>**是**</w:t>
            </w:r>
          </w:p>
        </w:tc>
        <w:tc>
          <w:tcPr>
            <w:tcW w:type="dxa" w:w="2209"/>
            <w:shd w:fill="f8fafc"/>
          </w:tcPr>
          <w:p>
            <w:pPr>
              <w:jc w:val="center"/>
            </w:pPr>
            <w:r>
              <w:rPr>
                <w:rFonts w:ascii="Microsoft YaHei" w:hAnsi="Microsoft YaHei" w:eastAsia="Microsoft YaHei"/>
                <w:sz w:val="20"/>
              </w:rPr>
              <w:t>融合抗体与小分子技术的平台型疗法，已成为肿瘤治疗领域的核心赛道。</w:t>
            </w:r>
          </w:p>
        </w:tc>
      </w:tr>
      <w:tr>
        <w:tc>
          <w:tcPr>
            <w:tcW w:type="dxa" w:w="2209"/>
          </w:tcPr>
          <w:p>
            <w:pPr>
              <w:jc w:val="center"/>
            </w:pPr>
            <w:r>
              <w:rPr>
                <w:rFonts w:ascii="Microsoft YaHei" w:hAnsi="Microsoft YaHei" w:eastAsia="Microsoft YaHei"/>
                <w:sz w:val="20"/>
              </w:rPr>
            </w:r>
          </w:p>
        </w:tc>
        <w:tc>
          <w:tcPr>
            <w:tcW w:type="dxa" w:w="2209"/>
          </w:tcPr>
          <w:p>
            <w:pPr>
              <w:jc w:val="center"/>
            </w:pPr>
            <w:r>
              <w:rPr>
                <w:rFonts w:ascii="Microsoft YaHei" w:hAnsi="Microsoft YaHei" w:eastAsia="Microsoft YaHei"/>
                <w:sz w:val="20"/>
              </w:rPr>
              <w:t>重组蛋白/多肽药物</w:t>
            </w:r>
          </w:p>
        </w:tc>
        <w:tc>
          <w:tcPr>
            <w:tcW w:type="dxa" w:w="2209"/>
          </w:tcPr>
          <w:p>
            <w:pPr>
              <w:jc w:val="center"/>
            </w:pPr>
            <w:r>
              <w:rPr>
                <w:rFonts w:ascii="Microsoft YaHei" w:hAnsi="Microsoft YaHei" w:eastAsia="Microsoft YaHei"/>
                <w:sz w:val="20"/>
              </w:rPr>
              <w:t>**是**</w:t>
            </w:r>
          </w:p>
        </w:tc>
        <w:tc>
          <w:tcPr>
            <w:tcW w:type="dxa" w:w="2209"/>
          </w:tcPr>
          <w:p>
            <w:pPr>
              <w:jc w:val="center"/>
            </w:pPr>
            <w:r>
              <w:rPr>
                <w:rFonts w:ascii="Microsoft YaHei" w:hAnsi="Microsoft YaHei" w:eastAsia="Microsoft YaHei"/>
                <w:sz w:val="20"/>
              </w:rPr>
              <w:t>在代谢、罕见病等领域有重要价值，属于生物创新药。</w:t>
            </w:r>
          </w:p>
        </w:tc>
      </w:tr>
      <w:tr>
        <w:tc>
          <w:tcPr>
            <w:tcW w:type="dxa" w:w="2209"/>
            <w:shd w:fill="f8fafc"/>
          </w:tcPr>
          <w:p>
            <w:pPr>
              <w:jc w:val="center"/>
            </w:pPr>
            <w:r>
              <w:rPr>
                <w:rFonts w:ascii="Microsoft YaHei" w:hAnsi="Microsoft YaHei" w:eastAsia="Microsoft YaHei"/>
                <w:sz w:val="20"/>
              </w:rPr>
            </w:r>
          </w:p>
        </w:tc>
        <w:tc>
          <w:tcPr>
            <w:tcW w:type="dxa" w:w="2209"/>
            <w:shd w:fill="f8fafc"/>
          </w:tcPr>
          <w:p>
            <w:pPr>
              <w:jc w:val="center"/>
            </w:pPr>
            <w:r>
              <w:rPr>
                <w:rFonts w:ascii="Microsoft YaHei" w:hAnsi="Microsoft YaHei" w:eastAsia="Microsoft YaHei"/>
                <w:sz w:val="20"/>
              </w:rPr>
              <w:t>疫苗（预防性/治疗性创新疫苗）</w:t>
            </w:r>
          </w:p>
        </w:tc>
        <w:tc>
          <w:tcPr>
            <w:tcW w:type="dxa" w:w="2209"/>
            <w:shd w:fill="f8fafc"/>
          </w:tcPr>
          <w:p>
            <w:pPr>
              <w:jc w:val="center"/>
            </w:pPr>
            <w:r>
              <w:rPr>
                <w:rFonts w:ascii="Microsoft YaHei" w:hAnsi="Microsoft YaHei" w:eastAsia="Microsoft YaHei"/>
                <w:sz w:val="20"/>
              </w:rPr>
              <w:t>**是**</w:t>
            </w:r>
          </w:p>
        </w:tc>
        <w:tc>
          <w:tcPr>
            <w:tcW w:type="dxa" w:w="2209"/>
            <w:shd w:fill="f8fafc"/>
          </w:tcPr>
          <w:p>
            <w:pPr>
              <w:jc w:val="center"/>
            </w:pPr>
            <w:r>
              <w:rPr>
                <w:rFonts w:ascii="Microsoft YaHei" w:hAnsi="Microsoft YaHei" w:eastAsia="Microsoft YaHei"/>
                <w:sz w:val="20"/>
              </w:rPr>
              <w:t>mRNA等技术平台推动疫苗进入全新创新阶段。</w:t>
            </w:r>
          </w:p>
        </w:tc>
      </w:tr>
      <w:tr>
        <w:tc>
          <w:tcPr>
            <w:tcW w:type="dxa" w:w="2209"/>
          </w:tcPr>
          <w:p>
            <w:pPr>
              <w:jc w:val="center"/>
            </w:pPr>
            <w:r>
              <w:rPr>
                <w:rFonts w:ascii="Microsoft YaHei" w:hAnsi="Microsoft YaHei" w:eastAsia="Microsoft YaHei"/>
                <w:sz w:val="20"/>
              </w:rPr>
            </w:r>
          </w:p>
        </w:tc>
        <w:tc>
          <w:tcPr>
            <w:tcW w:type="dxa" w:w="2209"/>
          </w:tcPr>
          <w:p>
            <w:pPr>
              <w:jc w:val="center"/>
            </w:pPr>
            <w:r>
              <w:rPr>
                <w:rFonts w:ascii="Microsoft YaHei" w:hAnsi="Microsoft YaHei" w:eastAsia="Microsoft YaHei"/>
                <w:sz w:val="20"/>
              </w:rPr>
              <w:t>血液制品</w:t>
            </w:r>
          </w:p>
        </w:tc>
        <w:tc>
          <w:tcPr>
            <w:tcW w:type="dxa" w:w="2209"/>
          </w:tcPr>
          <w:p>
            <w:pPr>
              <w:jc w:val="center"/>
            </w:pPr>
            <w:r>
              <w:rPr>
                <w:rFonts w:ascii="Microsoft YaHei" w:hAnsi="Microsoft YaHei" w:eastAsia="Microsoft YaHei"/>
                <w:sz w:val="20"/>
              </w:rPr>
              <w:t>**否**</w:t>
            </w:r>
          </w:p>
        </w:tc>
        <w:tc>
          <w:tcPr>
            <w:tcW w:type="dxa" w:w="2209"/>
          </w:tcPr>
          <w:p>
            <w:pPr>
              <w:jc w:val="center"/>
            </w:pPr>
            <w:r>
              <w:rPr>
                <w:rFonts w:ascii="Microsoft YaHei" w:hAnsi="Microsoft YaHei" w:eastAsia="Microsoft YaHei"/>
                <w:sz w:val="20"/>
              </w:rPr>
              <w:t>更多属于资源型产品，创新属性弱，排除。</w:t>
            </w:r>
          </w:p>
        </w:tc>
      </w:tr>
      <w:tr>
        <w:tc>
          <w:tcPr>
            <w:tcW w:type="dxa" w:w="2209"/>
            <w:shd w:fill="f8fafc"/>
          </w:tcPr>
          <w:p>
            <w:pPr>
              <w:jc w:val="center"/>
            </w:pPr>
            <w:r>
              <w:rPr>
                <w:rFonts w:ascii="Microsoft YaHei" w:hAnsi="Microsoft YaHei" w:eastAsia="Microsoft YaHei"/>
                <w:sz w:val="20"/>
              </w:rPr>
              <w:t>**先进治疗产品**</w:t>
            </w:r>
          </w:p>
        </w:tc>
        <w:tc>
          <w:tcPr>
            <w:tcW w:type="dxa" w:w="2209"/>
            <w:shd w:fill="f8fafc"/>
          </w:tcPr>
          <w:p>
            <w:pPr>
              <w:jc w:val="center"/>
            </w:pPr>
            <w:r>
              <w:rPr>
                <w:rFonts w:ascii="Microsoft YaHei" w:hAnsi="Microsoft YaHei" w:eastAsia="Microsoft YaHei"/>
                <w:sz w:val="20"/>
              </w:rPr>
              <w:t>细胞治疗（如CAR-T, TCR-T, 干细胞疗法）</w:t>
            </w:r>
          </w:p>
        </w:tc>
        <w:tc>
          <w:tcPr>
            <w:tcW w:type="dxa" w:w="2209"/>
            <w:shd w:fill="f8fafc"/>
          </w:tcPr>
          <w:p>
            <w:pPr>
              <w:jc w:val="center"/>
            </w:pPr>
            <w:r>
              <w:rPr>
                <w:rFonts w:ascii="Microsoft YaHei" w:hAnsi="Microsoft YaHei" w:eastAsia="Microsoft YaHei"/>
                <w:sz w:val="20"/>
              </w:rPr>
              <w:t>**是**</w:t>
            </w:r>
          </w:p>
        </w:tc>
        <w:tc>
          <w:tcPr>
            <w:tcW w:type="dxa" w:w="2209"/>
            <w:shd w:fill="f8fafc"/>
          </w:tcPr>
          <w:p>
            <w:pPr>
              <w:jc w:val="center"/>
            </w:pPr>
            <w:r>
              <w:rPr>
                <w:rFonts w:ascii="Microsoft YaHei" w:hAnsi="Microsoft YaHei" w:eastAsia="Microsoft YaHei"/>
                <w:sz w:val="20"/>
              </w:rPr>
              <w:t>前沿疗法代表，虽处商业化早期，但代表了颠覆性治疗方向，是资本关注重点。</w:t>
            </w:r>
          </w:p>
        </w:tc>
      </w:tr>
      <w:tr>
        <w:tc>
          <w:tcPr>
            <w:tcW w:type="dxa" w:w="2209"/>
          </w:tcPr>
          <w:p>
            <w:pPr>
              <w:jc w:val="center"/>
            </w:pPr>
            <w:r>
              <w:rPr>
                <w:rFonts w:ascii="Microsoft YaHei" w:hAnsi="Microsoft YaHei" w:eastAsia="Microsoft YaHei"/>
                <w:sz w:val="20"/>
              </w:rPr>
            </w:r>
          </w:p>
        </w:tc>
        <w:tc>
          <w:tcPr>
            <w:tcW w:type="dxa" w:w="2209"/>
          </w:tcPr>
          <w:p>
            <w:pPr>
              <w:jc w:val="center"/>
            </w:pPr>
            <w:r>
              <w:rPr>
                <w:rFonts w:ascii="Microsoft YaHei" w:hAnsi="Microsoft YaHei" w:eastAsia="Microsoft YaHei"/>
                <w:sz w:val="20"/>
              </w:rPr>
              <w:t>基因治疗（体内/体外基因编辑、基因疗法）</w:t>
            </w:r>
          </w:p>
        </w:tc>
        <w:tc>
          <w:tcPr>
            <w:tcW w:type="dxa" w:w="2209"/>
          </w:tcPr>
          <w:p>
            <w:pPr>
              <w:jc w:val="center"/>
            </w:pPr>
            <w:r>
              <w:rPr>
                <w:rFonts w:ascii="Microsoft YaHei" w:hAnsi="Microsoft YaHei" w:eastAsia="Microsoft YaHei"/>
                <w:sz w:val="20"/>
              </w:rPr>
              <w:t>**是**</w:t>
            </w:r>
          </w:p>
        </w:tc>
        <w:tc>
          <w:tcPr>
            <w:tcW w:type="dxa" w:w="2209"/>
          </w:tcPr>
          <w:p>
            <w:pPr>
              <w:jc w:val="center"/>
            </w:pPr>
            <w:r>
              <w:rPr>
                <w:rFonts w:ascii="Microsoft YaHei" w:hAnsi="Microsoft YaHei" w:eastAsia="Microsoft YaHei"/>
                <w:sz w:val="20"/>
              </w:rPr>
              <w:t>具有治愈潜力的下一代疗法，技术壁垒极高，是长期战略投资领域。</w:t>
            </w:r>
          </w:p>
        </w:tc>
      </w:tr>
      <w:tr>
        <w:tc>
          <w:tcPr>
            <w:tcW w:type="dxa" w:w="2209"/>
            <w:shd w:fill="f8fafc"/>
          </w:tcPr>
          <w:p>
            <w:pPr>
              <w:jc w:val="center"/>
            </w:pPr>
            <w:r>
              <w:rPr>
                <w:rFonts w:ascii="Microsoft YaHei" w:hAnsi="Microsoft YaHei" w:eastAsia="Microsoft YaHei"/>
                <w:sz w:val="20"/>
              </w:rPr>
            </w:r>
          </w:p>
        </w:tc>
        <w:tc>
          <w:tcPr>
            <w:tcW w:type="dxa" w:w="2209"/>
            <w:shd w:fill="f8fafc"/>
          </w:tcPr>
          <w:p>
            <w:pPr>
              <w:jc w:val="center"/>
            </w:pPr>
            <w:r>
              <w:rPr>
                <w:rFonts w:ascii="Microsoft YaHei" w:hAnsi="Microsoft YaHei" w:eastAsia="Microsoft YaHei"/>
                <w:sz w:val="20"/>
              </w:rPr>
              <w:t>基因治疗载体（如AAV、LV）生产</w:t>
            </w:r>
          </w:p>
        </w:tc>
        <w:tc>
          <w:tcPr>
            <w:tcW w:type="dxa" w:w="2209"/>
            <w:shd w:fill="f8fafc"/>
          </w:tcPr>
          <w:p>
            <w:pPr>
              <w:jc w:val="center"/>
            </w:pPr>
            <w:r>
              <w:rPr>
                <w:rFonts w:ascii="Microsoft YaHei" w:hAnsi="Microsoft YaHei" w:eastAsia="Microsoft YaHei"/>
                <w:sz w:val="20"/>
              </w:rPr>
              <w:t>**是**</w:t>
            </w:r>
          </w:p>
        </w:tc>
        <w:tc>
          <w:tcPr>
            <w:tcW w:type="dxa" w:w="2209"/>
            <w:shd w:fill="f8fafc"/>
          </w:tcPr>
          <w:p>
            <w:pPr>
              <w:jc w:val="center"/>
            </w:pPr>
            <w:r>
              <w:rPr>
                <w:rFonts w:ascii="Microsoft YaHei" w:hAnsi="Microsoft YaHei" w:eastAsia="Microsoft YaHei"/>
                <w:sz w:val="20"/>
              </w:rPr>
              <w:t>作为CGT产业链的核心上游，其本身是关键的“卡脖子”技术与投资环节。</w:t>
            </w:r>
          </w:p>
        </w:tc>
      </w:tr>
      <w:tr>
        <w:tc>
          <w:tcPr>
            <w:tcW w:type="dxa" w:w="2209"/>
          </w:tcPr>
          <w:p>
            <w:pPr>
              <w:jc w:val="center"/>
            </w:pPr>
            <w:r>
              <w:rPr>
                <w:rFonts w:ascii="Microsoft YaHei" w:hAnsi="Microsoft YaHei" w:eastAsia="Microsoft YaHei"/>
                <w:sz w:val="20"/>
              </w:rPr>
              <w:t>**其他**</w:t>
            </w:r>
          </w:p>
        </w:tc>
        <w:tc>
          <w:tcPr>
            <w:tcW w:type="dxa" w:w="2209"/>
          </w:tcPr>
          <w:p>
            <w:pPr>
              <w:jc w:val="center"/>
            </w:pPr>
            <w:r>
              <w:rPr>
                <w:rFonts w:ascii="Microsoft YaHei" w:hAnsi="Microsoft YaHei" w:eastAsia="Microsoft YaHei"/>
                <w:sz w:val="20"/>
              </w:rPr>
              <w:t>中药创新药</w:t>
            </w:r>
          </w:p>
        </w:tc>
        <w:tc>
          <w:tcPr>
            <w:tcW w:type="dxa" w:w="2209"/>
          </w:tcPr>
          <w:p>
            <w:pPr>
              <w:jc w:val="center"/>
            </w:pPr>
            <w:r>
              <w:rPr>
                <w:rFonts w:ascii="Microsoft YaHei" w:hAnsi="Microsoft YaHei" w:eastAsia="Microsoft YaHei"/>
                <w:sz w:val="20"/>
              </w:rPr>
              <w:t>**否**</w:t>
            </w:r>
          </w:p>
        </w:tc>
        <w:tc>
          <w:tcPr>
            <w:tcW w:type="dxa" w:w="2209"/>
          </w:tcPr>
          <w:p>
            <w:pPr>
              <w:jc w:val="center"/>
            </w:pPr>
            <w:r>
              <w:rPr>
                <w:rFonts w:ascii="Microsoft YaHei" w:hAnsi="Microsoft YaHei" w:eastAsia="Microsoft YaHei"/>
                <w:sz w:val="20"/>
              </w:rPr>
              <w:t>评审体系、临床价值评估逻辑与化药/生物药差异巨大，不属于本报告可比分析范围。</w:t>
            </w:r>
          </w:p>
        </w:tc>
      </w:tr>
      <w:tr>
        <w:tc>
          <w:tcPr>
            <w:tcW w:type="dxa" w:w="2209"/>
            <w:shd w:fill="f8fafc"/>
          </w:tcPr>
          <w:p>
            <w:pPr>
              <w:jc w:val="center"/>
            </w:pPr>
            <w:r>
              <w:rPr>
                <w:rFonts w:ascii="Microsoft YaHei" w:hAnsi="Microsoft YaHei" w:eastAsia="Microsoft YaHei"/>
                <w:sz w:val="20"/>
              </w:rPr>
            </w:r>
          </w:p>
        </w:tc>
        <w:tc>
          <w:tcPr>
            <w:tcW w:type="dxa" w:w="2209"/>
            <w:shd w:fill="f8fafc"/>
          </w:tcPr>
          <w:p>
            <w:pPr>
              <w:jc w:val="center"/>
            </w:pPr>
            <w:r>
              <w:rPr>
                <w:rFonts w:ascii="Microsoft YaHei" w:hAnsi="Microsoft YaHei" w:eastAsia="Microsoft YaHei"/>
                <w:sz w:val="20"/>
              </w:rPr>
              <w:t>医疗器械/诊断试剂</w:t>
            </w:r>
          </w:p>
        </w:tc>
        <w:tc>
          <w:tcPr>
            <w:tcW w:type="dxa" w:w="2209"/>
            <w:shd w:fill="f8fafc"/>
          </w:tcPr>
          <w:p>
            <w:pPr>
              <w:jc w:val="center"/>
            </w:pPr>
            <w:r>
              <w:rPr>
                <w:rFonts w:ascii="Microsoft YaHei" w:hAnsi="Microsoft YaHei" w:eastAsia="Microsoft YaHei"/>
                <w:sz w:val="20"/>
              </w:rPr>
              <w:t>**否**</w:t>
            </w:r>
          </w:p>
        </w:tc>
        <w:tc>
          <w:tcPr>
            <w:tcW w:type="dxa" w:w="2209"/>
            <w:shd w:fill="f8fafc"/>
          </w:tcPr>
          <w:p>
            <w:pPr>
              <w:jc w:val="center"/>
            </w:pPr>
            <w:r>
              <w:rPr>
                <w:rFonts w:ascii="Microsoft YaHei" w:hAnsi="Microsoft YaHei" w:eastAsia="Microsoft YaHei"/>
                <w:sz w:val="20"/>
              </w:rPr>
              <w:t>虽与创新药协同，但产业分类、监管路径、商业模式均不同，需独立研究。</w:t>
            </w:r>
          </w:p>
        </w:tc>
      </w:tr>
    </w:tbl>
    <w:p/>
    <w:p>
      <w:r>
        <w:rPr>
          <w:rFonts w:ascii="Microsoft YaHei" w:hAnsi="Microsoft YaHei" w:eastAsia="Microsoft YaHei"/>
        </w:rPr>
      </w:r>
      <w:r>
        <w:rPr>
          <w:rFonts w:ascii="Microsoft YaHei" w:hAnsi="Microsoft YaHei" w:eastAsia="Microsoft YaHei"/>
          <w:b/>
          <w:color w:val="1E40AF"/>
        </w:rPr>
        <w:t>表 1-2：上海市创新药企业纳入判定标准与示例</w:t>
      </w:r>
      <w:r>
        <w:rPr>
          <w:rFonts w:ascii="Microsoft YaHei" w:hAnsi="Microsoft YaHei" w:eastAsia="Microsoft YaHei"/>
        </w:rPr>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1e40af"/>
          </w:tcPr>
          <w:p>
            <w:pPr>
              <w:jc w:val="center"/>
            </w:pPr>
            <w:r>
              <w:rPr>
                <w:rFonts w:ascii="Microsoft YaHei" w:hAnsi="Microsoft YaHei" w:eastAsia="Microsoft YaHei"/>
                <w:b/>
                <w:color w:val="FFFFFF"/>
                <w:sz w:val="20"/>
              </w:rPr>
              <w:t>判定维度</w:t>
            </w:r>
          </w:p>
        </w:tc>
        <w:tc>
          <w:tcPr>
            <w:tcW w:type="dxa" w:w="2209"/>
            <w:shd w:fill="1e40af"/>
          </w:tcPr>
          <w:p>
            <w:pPr>
              <w:jc w:val="center"/>
            </w:pPr>
            <w:r>
              <w:rPr>
                <w:rFonts w:ascii="Microsoft YaHei" w:hAnsi="Microsoft YaHei" w:eastAsia="Microsoft YaHei"/>
                <w:b/>
                <w:color w:val="FFFFFF"/>
                <w:sz w:val="20"/>
              </w:rPr>
              <w:t>具体标准</w:t>
            </w:r>
          </w:p>
        </w:tc>
        <w:tc>
          <w:tcPr>
            <w:tcW w:type="dxa" w:w="2209"/>
            <w:shd w:fill="1e40af"/>
          </w:tcPr>
          <w:p>
            <w:pPr>
              <w:jc w:val="center"/>
            </w:pPr>
            <w:r>
              <w:rPr>
                <w:rFonts w:ascii="Microsoft YaHei" w:hAnsi="Microsoft YaHei" w:eastAsia="Microsoft YaHei"/>
                <w:b/>
                <w:color w:val="FFFFFF"/>
                <w:sz w:val="20"/>
              </w:rPr>
              <w:t>符合示例</w:t>
            </w:r>
          </w:p>
        </w:tc>
        <w:tc>
          <w:tcPr>
            <w:tcW w:type="dxa" w:w="2209"/>
            <w:shd w:fill="1e40af"/>
          </w:tcPr>
          <w:p>
            <w:pPr>
              <w:jc w:val="center"/>
            </w:pPr>
            <w:r>
              <w:rPr>
                <w:rFonts w:ascii="Microsoft YaHei" w:hAnsi="Microsoft YaHei" w:eastAsia="Microsoft YaHei"/>
                <w:b/>
                <w:color w:val="FFFFFF"/>
                <w:sz w:val="20"/>
              </w:rPr>
              <w:t>不符合示例</w:t>
            </w:r>
          </w:p>
        </w:tc>
      </w:tr>
      <w:tr>
        <w:tc>
          <w:tcPr>
            <w:tcW w:type="dxa" w:w="2209"/>
          </w:tcPr>
          <w:p>
            <w:pPr>
              <w:jc w:val="center"/>
            </w:pPr>
            <w:r>
              <w:rPr>
                <w:rFonts w:ascii="Microsoft YaHei" w:hAnsi="Microsoft YaHei" w:eastAsia="Microsoft YaHei"/>
                <w:sz w:val="20"/>
              </w:rPr>
              <w:t>**核心研发机构所在地**</w:t>
            </w:r>
          </w:p>
        </w:tc>
        <w:tc>
          <w:tcPr>
            <w:tcW w:type="dxa" w:w="2209"/>
          </w:tcPr>
          <w:p>
            <w:pPr>
              <w:jc w:val="center"/>
            </w:pPr>
            <w:r>
              <w:rPr>
                <w:rFonts w:ascii="Microsoft YaHei" w:hAnsi="Microsoft YaHei" w:eastAsia="Microsoft YaHei"/>
                <w:sz w:val="20"/>
              </w:rPr>
              <w:t>企业的主要研发中心、核心实验室位于上海市域内（尤其张江、临港等集群）。</w:t>
            </w:r>
          </w:p>
        </w:tc>
        <w:tc>
          <w:tcPr>
            <w:tcW w:type="dxa" w:w="2209"/>
          </w:tcPr>
          <w:p>
            <w:pPr>
              <w:jc w:val="center"/>
            </w:pPr>
            <w:r>
              <w:rPr>
                <w:rFonts w:ascii="Microsoft YaHei" w:hAnsi="Microsoft YaHei" w:eastAsia="Microsoft YaHei"/>
                <w:sz w:val="20"/>
              </w:rPr>
              <w:t>某Biotech，总部注册在开曼，但全部研发团队、实验室位于上海张江。</w:t>
            </w:r>
          </w:p>
        </w:tc>
        <w:tc>
          <w:tcPr>
            <w:tcW w:type="dxa" w:w="2209"/>
          </w:tcPr>
          <w:p>
            <w:pPr>
              <w:jc w:val="center"/>
            </w:pPr>
            <w:r>
              <w:rPr>
                <w:rFonts w:ascii="Microsoft YaHei" w:hAnsi="Microsoft YaHei" w:eastAsia="Microsoft YaHei"/>
                <w:sz w:val="20"/>
              </w:rPr>
              <w:t>某药企，总部在上海，但研发中心全部设在苏州。</w:t>
            </w:r>
          </w:p>
        </w:tc>
      </w:tr>
      <w:tr>
        <w:tc>
          <w:tcPr>
            <w:tcW w:type="dxa" w:w="2209"/>
            <w:shd w:fill="f8fafc"/>
          </w:tcPr>
          <w:p>
            <w:pPr>
              <w:jc w:val="center"/>
            </w:pPr>
            <w:r>
              <w:rPr>
                <w:rFonts w:ascii="Microsoft YaHei" w:hAnsi="Microsoft YaHei" w:eastAsia="Microsoft YaHei"/>
                <w:sz w:val="20"/>
              </w:rPr>
              <w:t>**核心管理与决策所在地**</w:t>
            </w:r>
          </w:p>
        </w:tc>
        <w:tc>
          <w:tcPr>
            <w:tcW w:type="dxa" w:w="2209"/>
            <w:shd w:fill="f8fafc"/>
          </w:tcPr>
          <w:p>
            <w:pPr>
              <w:jc w:val="center"/>
            </w:pPr>
            <w:r>
              <w:rPr>
                <w:rFonts w:ascii="Microsoft YaHei" w:hAnsi="Microsoft YaHei" w:eastAsia="Microsoft YaHei"/>
                <w:sz w:val="20"/>
              </w:rPr>
              <w:t>企业的实际经营管理、战略决策、BD（业务发展）团队常驻上海。</w:t>
            </w:r>
          </w:p>
        </w:tc>
        <w:tc>
          <w:tcPr>
            <w:tcW w:type="dxa" w:w="2209"/>
            <w:shd w:fill="f8fafc"/>
          </w:tcPr>
          <w:p>
            <w:pPr>
              <w:jc w:val="center"/>
            </w:pPr>
            <w:r>
              <w:rPr>
                <w:rFonts w:ascii="Microsoft YaHei" w:hAnsi="Microsoft YaHei" w:eastAsia="Microsoft YaHei"/>
                <w:sz w:val="20"/>
              </w:rPr>
              <w:t>某上市公司，实际控制人及核心管理层办公地在上海，指挥全国业务。</w:t>
            </w:r>
          </w:p>
        </w:tc>
        <w:tc>
          <w:tcPr>
            <w:tcW w:type="dxa" w:w="2209"/>
            <w:shd w:fill="f8fafc"/>
          </w:tcPr>
          <w:p>
            <w:pPr>
              <w:jc w:val="center"/>
            </w:pPr>
            <w:r>
              <w:rPr>
                <w:rFonts w:ascii="Microsoft YaHei" w:hAnsi="Microsoft YaHei" w:eastAsia="Microsoft YaHei"/>
                <w:sz w:val="20"/>
              </w:rPr>
              <w:t>仅在上海设有销售办事处或政府事务办公室的企业。</w:t>
            </w:r>
          </w:p>
        </w:tc>
      </w:tr>
      <w:tr>
        <w:tc>
          <w:tcPr>
            <w:tcW w:type="dxa" w:w="2209"/>
          </w:tcPr>
          <w:p>
            <w:pPr>
              <w:jc w:val="center"/>
            </w:pPr>
            <w:r>
              <w:rPr>
                <w:rFonts w:ascii="Microsoft YaHei" w:hAnsi="Microsoft YaHei" w:eastAsia="Microsoft YaHei"/>
                <w:sz w:val="20"/>
              </w:rPr>
              <w:t>**核心知识产权来源地**</w:t>
            </w:r>
          </w:p>
        </w:tc>
        <w:tc>
          <w:tcPr>
            <w:tcW w:type="dxa" w:w="2209"/>
          </w:tcPr>
          <w:p>
            <w:pPr>
              <w:jc w:val="center"/>
            </w:pPr>
            <w:r>
              <w:rPr>
                <w:rFonts w:ascii="Microsoft YaHei" w:hAnsi="Microsoft YaHei" w:eastAsia="Microsoft YaHei"/>
                <w:sz w:val="20"/>
              </w:rPr>
              <w:t>企业核心管线（临床阶段或已上市）的早期发现、专利申请主体隶属于上海实体。</w:t>
            </w:r>
          </w:p>
        </w:tc>
        <w:tc>
          <w:tcPr>
            <w:tcW w:type="dxa" w:w="2209"/>
          </w:tcPr>
          <w:p>
            <w:pPr>
              <w:jc w:val="center"/>
            </w:pPr>
            <w:r>
              <w:rPr>
                <w:rFonts w:ascii="Microsoft YaHei" w:hAnsi="Microsoft YaHei" w:eastAsia="Microsoft YaHei"/>
                <w:sz w:val="20"/>
              </w:rPr>
              <w:t>复旦大学教授创业项目，专利由上海高校转让，公司落地上海孵化。</w:t>
            </w:r>
          </w:p>
        </w:tc>
        <w:tc>
          <w:tcPr>
            <w:tcW w:type="dxa" w:w="2209"/>
          </w:tcPr>
          <w:p>
            <w:pPr>
              <w:jc w:val="center"/>
            </w:pPr>
            <w:r>
              <w:rPr>
                <w:rFonts w:ascii="Microsoft YaHei" w:hAnsi="Microsoft YaHei" w:eastAsia="Microsoft YaHei"/>
                <w:sz w:val="20"/>
              </w:rPr>
              <w:t>通过License-in引进国外管线，仅在上海进行临床开发或销售的公司。</w:t>
            </w:r>
          </w:p>
        </w:tc>
      </w:tr>
      <w:tr>
        <w:tc>
          <w:tcPr>
            <w:tcW w:type="dxa" w:w="2209"/>
            <w:shd w:fill="f8fafc"/>
          </w:tcPr>
          <w:p>
            <w:pPr>
              <w:jc w:val="center"/>
            </w:pPr>
            <w:r>
              <w:rPr>
                <w:rFonts w:ascii="Microsoft YaHei" w:hAnsi="Microsoft YaHei" w:eastAsia="Microsoft YaHei"/>
                <w:sz w:val="20"/>
              </w:rPr>
              <w:t>**综合判定（主要模式）**</w:t>
            </w:r>
          </w:p>
        </w:tc>
        <w:tc>
          <w:tcPr>
            <w:tcW w:type="dxa" w:w="2209"/>
            <w:shd w:fill="f8fafc"/>
          </w:tcPr>
          <w:p>
            <w:pPr>
              <w:jc w:val="center"/>
            </w:pPr>
            <w:r>
              <w:rPr>
                <w:rFonts w:ascii="Microsoft YaHei" w:hAnsi="Microsoft YaHei" w:eastAsia="Microsoft YaHei"/>
                <w:sz w:val="20"/>
              </w:rPr>
              <w:t>满足以上至少两项，尤其是“核心研发”+“核心管理”的组合。</w:t>
            </w:r>
          </w:p>
        </w:tc>
        <w:tc>
          <w:tcPr>
            <w:tcW w:type="dxa" w:w="2209"/>
            <w:shd w:fill="f8fafc"/>
          </w:tcPr>
          <w:p>
            <w:pPr>
              <w:jc w:val="center"/>
            </w:pPr>
            <w:r>
              <w:rPr>
                <w:rFonts w:ascii="Microsoft YaHei" w:hAnsi="Microsoft YaHei" w:eastAsia="Microsoft YaHei"/>
                <w:sz w:val="20"/>
              </w:rPr>
              <w:t>绝大多数上海本土孵化的Biotech、跨国药企的中国研发中心。</w:t>
            </w:r>
          </w:p>
        </w:tc>
        <w:tc>
          <w:tcPr>
            <w:tcW w:type="dxa" w:w="2209"/>
            <w:shd w:fill="f8fafc"/>
          </w:tcPr>
          <w:p>
            <w:pPr>
              <w:jc w:val="center"/>
            </w:pPr>
            <w:r>
              <w:rPr>
                <w:rFonts w:ascii="Microsoft YaHei" w:hAnsi="Microsoft YaHei" w:eastAsia="Microsoft YaHei"/>
                <w:sz w:val="20"/>
              </w:rPr>
              <w:t>仅在上海市郊设有生产基地，但研发和管理均在外的企业。</w:t>
            </w:r>
          </w:p>
        </w:tc>
      </w:tr>
    </w:tbl>
    <w:p/>
    <w:p>
      <w:r>
        <w:rPr>
          <w:rFonts w:ascii="Microsoft YaHei" w:hAnsi="Microsoft YaHei" w:eastAsia="Microsoft YaHei"/>
        </w:rPr>
      </w:r>
      <w:r>
        <w:rPr>
          <w:rFonts w:ascii="Microsoft YaHei" w:hAnsi="Microsoft YaHei" w:eastAsia="Microsoft YaHei"/>
          <w:b/>
          <w:color w:val="1E40AF"/>
        </w:rPr>
        <w:t>表 1-3：本报告研究边界总结表</w:t>
      </w:r>
      <w:r>
        <w:rPr>
          <w:rFonts w:ascii="Microsoft YaHei" w:hAnsi="Microsoft YaHei" w:eastAsia="Microsoft YaHei"/>
        </w:rPr>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e40af"/>
          </w:tcPr>
          <w:p>
            <w:pPr>
              <w:jc w:val="center"/>
            </w:pPr>
            <w:r>
              <w:rPr>
                <w:rFonts w:ascii="Microsoft YaHei" w:hAnsi="Microsoft YaHei" w:eastAsia="Microsoft YaHei"/>
                <w:b/>
                <w:color w:val="FFFFFF"/>
                <w:sz w:val="20"/>
              </w:rPr>
              <w:t>边界维度</w:t>
            </w:r>
          </w:p>
        </w:tc>
        <w:tc>
          <w:tcPr>
            <w:tcW w:type="dxa" w:w="2946"/>
            <w:shd w:fill="1e40af"/>
          </w:tcPr>
          <w:p>
            <w:pPr>
              <w:jc w:val="center"/>
            </w:pPr>
            <w:r>
              <w:rPr>
                <w:rFonts w:ascii="Microsoft YaHei" w:hAnsi="Microsoft YaHei" w:eastAsia="Microsoft YaHei"/>
                <w:b/>
                <w:color w:val="FFFFFF"/>
                <w:sz w:val="20"/>
              </w:rPr>
              <w:t>具体界定</w:t>
            </w:r>
          </w:p>
        </w:tc>
        <w:tc>
          <w:tcPr>
            <w:tcW w:type="dxa" w:w="2946"/>
            <w:shd w:fill="1e40af"/>
          </w:tcPr>
          <w:p>
            <w:pPr>
              <w:jc w:val="center"/>
            </w:pPr>
            <w:r>
              <w:rPr>
                <w:rFonts w:ascii="Microsoft YaHei" w:hAnsi="Microsoft YaHei" w:eastAsia="Microsoft YaHei"/>
                <w:b/>
                <w:color w:val="FFFFFF"/>
                <w:sz w:val="20"/>
              </w:rPr>
              <w:t>对投资分析的意义</w:t>
            </w:r>
          </w:p>
        </w:tc>
      </w:tr>
      <w:tr>
        <w:tc>
          <w:tcPr>
            <w:tcW w:type="dxa" w:w="2946"/>
          </w:tcPr>
          <w:p>
            <w:pPr>
              <w:jc w:val="center"/>
            </w:pPr>
            <w:r>
              <w:rPr>
                <w:rFonts w:ascii="Microsoft YaHei" w:hAnsi="Microsoft YaHei" w:eastAsia="Microsoft YaHei"/>
                <w:sz w:val="20"/>
              </w:rPr>
              <w:t>**产品边界**</w:t>
            </w:r>
          </w:p>
        </w:tc>
        <w:tc>
          <w:tcPr>
            <w:tcW w:type="dxa" w:w="2946"/>
          </w:tcPr>
          <w:p>
            <w:pPr>
              <w:jc w:val="center"/>
            </w:pPr>
            <w:r>
              <w:rPr>
                <w:rFonts w:ascii="Microsoft YaHei" w:hAnsi="Microsoft YaHei" w:eastAsia="Microsoft YaHei"/>
                <w:sz w:val="20"/>
              </w:rPr>
              <w:t>见表1-1。聚焦高创新、高风险的化学与生物创新药及先进疗法。</w:t>
            </w:r>
          </w:p>
        </w:tc>
        <w:tc>
          <w:tcPr>
            <w:tcW w:type="dxa" w:w="2946"/>
          </w:tcPr>
          <w:p>
            <w:pPr>
              <w:jc w:val="center"/>
            </w:pPr>
            <w:r>
              <w:rPr>
                <w:rFonts w:ascii="Microsoft YaHei" w:hAnsi="Microsoft YaHei" w:eastAsia="Microsoft YaHei"/>
                <w:sz w:val="20"/>
              </w:rPr>
              <w:t>避免将仿制药的“集采逻辑”或医疗器械的“取证逻辑”误用于创新药估值，确保风险收益评估的纯粹性。</w:t>
            </w:r>
          </w:p>
        </w:tc>
      </w:tr>
      <w:tr>
        <w:tc>
          <w:tcPr>
            <w:tcW w:type="dxa" w:w="2946"/>
            <w:shd w:fill="f8fafc"/>
          </w:tcPr>
          <w:p>
            <w:pPr>
              <w:jc w:val="center"/>
            </w:pPr>
            <w:r>
              <w:rPr>
                <w:rFonts w:ascii="Microsoft YaHei" w:hAnsi="Microsoft YaHei" w:eastAsia="Microsoft YaHei"/>
                <w:sz w:val="20"/>
              </w:rPr>
              <w:t>**企业边界**</w:t>
            </w:r>
          </w:p>
        </w:tc>
        <w:tc>
          <w:tcPr>
            <w:tcW w:type="dxa" w:w="2946"/>
            <w:shd w:fill="f8fafc"/>
          </w:tcPr>
          <w:p>
            <w:pPr>
              <w:jc w:val="center"/>
            </w:pPr>
            <w:r>
              <w:rPr>
                <w:rFonts w:ascii="Microsoft YaHei" w:hAnsi="Microsoft YaHei" w:eastAsia="Microsoft YaHei"/>
                <w:sz w:val="20"/>
              </w:rPr>
              <w:t>见表1-2。以“创新功能”在上海而非“物理实体”全部在上海为标准。</w:t>
            </w:r>
          </w:p>
        </w:tc>
        <w:tc>
          <w:tcPr>
            <w:tcW w:type="dxa" w:w="2946"/>
            <w:shd w:fill="f8fafc"/>
          </w:tcPr>
          <w:p>
            <w:pPr>
              <w:jc w:val="center"/>
            </w:pPr>
            <w:r>
              <w:rPr>
                <w:rFonts w:ascii="Microsoft YaHei" w:hAnsi="Microsoft YaHei" w:eastAsia="Microsoft YaHei"/>
                <w:sz w:val="20"/>
              </w:rPr>
              <w:t>真实反映上海对创新资源的集聚和辐射能力，有助于识别真正依托上海生态成长的投资标的。</w:t>
            </w:r>
          </w:p>
        </w:tc>
      </w:tr>
      <w:tr>
        <w:tc>
          <w:tcPr>
            <w:tcW w:type="dxa" w:w="2946"/>
          </w:tcPr>
          <w:p>
            <w:pPr>
              <w:jc w:val="center"/>
            </w:pPr>
            <w:r>
              <w:rPr>
                <w:rFonts w:ascii="Microsoft YaHei" w:hAnsi="Microsoft YaHei" w:eastAsia="Microsoft YaHei"/>
                <w:sz w:val="20"/>
              </w:rPr>
              <w:t>**时间边界**</w:t>
            </w:r>
          </w:p>
        </w:tc>
        <w:tc>
          <w:tcPr>
            <w:tcW w:type="dxa" w:w="2946"/>
          </w:tcPr>
          <w:p>
            <w:pPr>
              <w:jc w:val="center"/>
            </w:pPr>
            <w:r>
              <w:rPr>
                <w:rFonts w:ascii="Microsoft YaHei" w:hAnsi="Microsoft YaHei" w:eastAsia="Microsoft YaHei"/>
                <w:sz w:val="20"/>
              </w:rPr>
              <w:t>**现状基准：** 2024年（最新可得数据）。&lt;br&gt;**预测目标：** 2025年（趋势展望与投资窗口判断）。</w:t>
            </w:r>
          </w:p>
        </w:tc>
        <w:tc>
          <w:tcPr>
            <w:tcW w:type="dxa" w:w="2946"/>
          </w:tcPr>
          <w:p>
            <w:pPr>
              <w:jc w:val="center"/>
            </w:pPr>
            <w:r>
              <w:rPr>
                <w:rFonts w:ascii="Microsoft YaHei" w:hAnsi="Microsoft YaHei" w:eastAsia="Microsoft YaHei"/>
                <w:sz w:val="20"/>
              </w:rPr>
              <w:t>聚焦行业当前面临的融资环境、估值压力、政策调整等现实问题，并对未来1-2年的关键变化进行预判，具备直接的投资时效性。</w:t>
            </w:r>
          </w:p>
        </w:tc>
      </w:tr>
      <w:tr>
        <w:tc>
          <w:tcPr>
            <w:tcW w:type="dxa" w:w="2946"/>
            <w:shd w:fill="f8fafc"/>
          </w:tcPr>
          <w:p>
            <w:pPr>
              <w:jc w:val="center"/>
            </w:pPr>
            <w:r>
              <w:rPr>
                <w:rFonts w:ascii="Microsoft YaHei" w:hAnsi="Microsoft YaHei" w:eastAsia="Microsoft YaHei"/>
                <w:sz w:val="20"/>
              </w:rPr>
              <w:t>**地理边界**</w:t>
            </w:r>
          </w:p>
        </w:tc>
        <w:tc>
          <w:tcPr>
            <w:tcW w:type="dxa" w:w="2946"/>
            <w:shd w:fill="f8fafc"/>
          </w:tcPr>
          <w:p>
            <w:pPr>
              <w:jc w:val="center"/>
            </w:pPr>
            <w:r>
              <w:rPr>
                <w:rFonts w:ascii="Microsoft YaHei" w:hAnsi="Microsoft YaHei" w:eastAsia="Microsoft YaHei"/>
                <w:sz w:val="20"/>
              </w:rPr>
              <w:t>**核心区域：** 上海市。&lt;br&gt;**对照区域：** 全国（尤其是江苏、广东、北京等主要产业集群）。</w:t>
            </w:r>
          </w:p>
        </w:tc>
        <w:tc>
          <w:tcPr>
            <w:tcW w:type="dxa" w:w="2946"/>
            <w:shd w:fill="f8fafc"/>
          </w:tcPr>
          <w:p>
            <w:pPr>
              <w:jc w:val="center"/>
            </w:pPr>
            <w:r>
              <w:rPr>
                <w:rFonts w:ascii="Microsoft YaHei" w:hAnsi="Microsoft YaHei" w:eastAsia="Microsoft YaHei"/>
                <w:sz w:val="20"/>
              </w:rPr>
              <w:t>明确分析上海的比较优势与短板（如“强研发、弱制造”），为投资组合进行区域配置（如研发平台投上海，生产基地投江苏）提供依据。</w:t>
            </w:r>
          </w:p>
        </w:tc>
      </w:tr>
      <w:tr>
        <w:tc>
          <w:tcPr>
            <w:tcW w:type="dxa" w:w="2946"/>
          </w:tcPr>
          <w:p>
            <w:pPr>
              <w:jc w:val="center"/>
            </w:pPr>
            <w:r>
              <w:rPr>
                <w:rFonts w:ascii="Microsoft YaHei" w:hAnsi="Microsoft YaHei" w:eastAsia="Microsoft YaHei"/>
                <w:sz w:val="20"/>
              </w:rPr>
              <w:t>**价值链边界**</w:t>
            </w:r>
          </w:p>
        </w:tc>
        <w:tc>
          <w:tcPr>
            <w:tcW w:type="dxa" w:w="2946"/>
          </w:tcPr>
          <w:p>
            <w:pPr>
              <w:jc w:val="center"/>
            </w:pPr>
            <w:r>
              <w:rPr>
                <w:rFonts w:ascii="Microsoft YaHei" w:hAnsi="Microsoft YaHei" w:eastAsia="Microsoft YaHei"/>
                <w:sz w:val="20"/>
              </w:rPr>
              <w:t>覆盖从早期研发、临床开发、生产制造到商业化的完整产业链。</w:t>
            </w:r>
          </w:p>
        </w:tc>
        <w:tc>
          <w:tcPr>
            <w:tcW w:type="dxa" w:w="2946"/>
          </w:tcPr>
          <w:p>
            <w:pPr>
              <w:jc w:val="center"/>
            </w:pPr>
            <w:r>
              <w:rPr>
                <w:rFonts w:ascii="Microsoft YaHei" w:hAnsi="Microsoft YaHei" w:eastAsia="Microsoft YaHei"/>
                <w:sz w:val="20"/>
              </w:rPr>
              <w:t>支持进行全产业链价值分配分析，识别从“卡脖子”的上游原材料到下游商业化能力的全链条投资机会与风险。</w:t>
            </w:r>
          </w:p>
        </w:tc>
      </w:tr>
    </w:tbl>
    <w:p/>
    <w:p>
      <w:pPr>
        <w:pStyle w:val="Heading3"/>
      </w:pPr>
      <w:r>
        <w:t>**三、深度分析与逻辑推演**</w:t>
      </w:r>
    </w:p>
    <w:p>
      <w:pPr>
        <w:ind w:firstLine="0"/>
      </w:pPr>
      <w:r>
        <w:rPr>
          <w:rFonts w:ascii="Microsoft YaHei" w:hAnsi="Microsoft YaHei" w:eastAsia="Microsoft YaHei"/>
          <w:b/>
          <w:sz w:val="24"/>
        </w:rPr>
        <w:t>**1.1 “创新药”定义：从监管分类到投资视角的再界定**</w:t>
      </w:r>
    </w:p>
    <w:p>
      <w:r>
        <w:rPr>
          <w:rFonts w:ascii="Microsoft YaHei" w:hAnsi="Microsoft YaHei" w:eastAsia="Microsoft YaHei"/>
        </w:rPr>
        <w:t>本报告对“创新药”的界定，超越了简单的监管注册分类（如化学药1类、生物药1类），而是从一级市场投资的本质出发，聚焦于具备</w:t>
      </w:r>
      <w:r>
        <w:rPr>
          <w:rFonts w:ascii="Microsoft YaHei" w:hAnsi="Microsoft YaHei" w:eastAsia="Microsoft YaHei"/>
          <w:b/>
          <w:color w:val="1E40AF"/>
        </w:rPr>
        <w:t>自主知识产权</w:t>
      </w:r>
      <w:r>
        <w:rPr>
          <w:rFonts w:ascii="Microsoft YaHei" w:hAnsi="Microsoft YaHei" w:eastAsia="Microsoft YaHei"/>
        </w:rPr>
        <w:t>、旨在解决</w:t>
      </w:r>
      <w:r>
        <w:rPr>
          <w:rFonts w:ascii="Microsoft YaHei" w:hAnsi="Microsoft YaHei" w:eastAsia="Microsoft YaHei"/>
          <w:b/>
          <w:color w:val="1E40AF"/>
        </w:rPr>
        <w:t>未满足临床需求</w:t>
      </w:r>
      <w:r>
        <w:rPr>
          <w:rFonts w:ascii="Microsoft YaHei" w:hAnsi="Microsoft YaHei" w:eastAsia="Microsoft YaHei"/>
        </w:rPr>
        <w:t>、并有望实现</w:t>
      </w:r>
      <w:r>
        <w:rPr>
          <w:rFonts w:ascii="Microsoft YaHei" w:hAnsi="Microsoft YaHei" w:eastAsia="Microsoft YaHei"/>
          <w:b/>
          <w:color w:val="1E40AF"/>
        </w:rPr>
        <w:t>全球或中国首次商业化</w:t>
      </w:r>
      <w:r>
        <w:rPr>
          <w:rFonts w:ascii="Microsoft YaHei" w:hAnsi="Microsoft YaHei" w:eastAsia="Microsoft YaHei"/>
        </w:rPr>
        <w:t>的药物。这一界定包含两层核心投资含义：</w:t>
      </w:r>
      <w:r>
        <w:rPr>
          <w:rFonts w:ascii="Microsoft YaHei" w:hAnsi="Microsoft YaHei" w:eastAsia="Microsoft YaHei"/>
          <w:b/>
          <w:color w:val="1E40AF"/>
        </w:rPr>
        <w:t>一是强调“源头创新”或“显著迭代”带来的市场独占期和定价权潜力</w:t>
      </w:r>
      <w:r>
        <w:rPr>
          <w:rFonts w:ascii="Microsoft YaHei" w:hAnsi="Microsoft YaHei" w:eastAsia="Microsoft YaHei"/>
        </w:rPr>
        <w:t>，这是高回报的根源；</w:t>
      </w:r>
      <w:r>
        <w:rPr>
          <w:rFonts w:ascii="Microsoft YaHei" w:hAnsi="Microsoft YaHei" w:eastAsia="Microsoft YaHei"/>
          <w:b/>
          <w:color w:val="1E40AF"/>
        </w:rPr>
        <w:t>二是明确将伴随高研发失败率和长周期风险</w:t>
      </w:r>
      <w:r>
        <w:rPr>
          <w:rFonts w:ascii="Microsoft YaHei" w:hAnsi="Microsoft YaHei" w:eastAsia="Microsoft YaHei"/>
        </w:rPr>
        <w:t>，这是投资决策中必须定价的核心因素。</w:t>
      </w:r>
    </w:p>
    <w:p>
      <w:r>
        <w:rPr>
          <w:rFonts w:ascii="Microsoft YaHei" w:hAnsi="Microsoft YaHei" w:eastAsia="Microsoft YaHei"/>
        </w:rPr>
        <w:t>因此，如表1-1所示，我们全面纳入代表技术前沿的细胞与基因治疗（CGT）。尽管CGT目前商业化规模有限且面临生产、支付挑战，但其技术颠覆性明确，是VC及前瞻性产业资本进行长期战略布局的必争之地。相反，我们将中药创新药排除。并非否认其价值，而是因其研发范式（如基于经验方）、审评标准（强调“中医理论”）和估值体系与化药/生物药迥异，混同分析将导致逻辑混乱和错误对标。同样，医疗器械与诊断试剂被排除，因其核心是工程学、材料学创新与医疗机构的采购逻辑，与药物的生物学创新和医保支付逻辑分属不同赛道。</w:t>
      </w:r>
    </w:p>
    <w:p>
      <w:pPr>
        <w:ind w:firstLine="0"/>
      </w:pPr>
      <w:r>
        <w:rPr>
          <w:rFonts w:ascii="Microsoft YaHei" w:hAnsi="Microsoft YaHei" w:eastAsia="Microsoft YaHei"/>
          <w:b/>
          <w:sz w:val="24"/>
        </w:rPr>
        <w:t>**1.2 界定“上海市创新药产业”：聚焦价值创造环节，而非物理实体**</w:t>
      </w:r>
    </w:p>
    <w:p>
      <w:r>
        <w:rPr>
          <w:rFonts w:ascii="Microsoft YaHei" w:hAnsi="Microsoft YaHei" w:eastAsia="Microsoft YaHei"/>
        </w:rPr>
        <w:t xml:space="preserve">在全球化和产业分工深化的背景下，简单地以企业工商注册地或生产基地来界定其产业归属已不准确，尤其对于上海这样的研发密集型城市。本报告采用 </w:t>
      </w:r>
      <w:r>
        <w:rPr>
          <w:rFonts w:ascii="Microsoft YaHei" w:hAnsi="Microsoft YaHei" w:eastAsia="Microsoft YaHei"/>
          <w:b/>
          <w:color w:val="1E40AF"/>
        </w:rPr>
        <w:t>“功能所在地”原则</w:t>
      </w:r>
      <w:r>
        <w:rPr>
          <w:rFonts w:ascii="Microsoft YaHei" w:hAnsi="Microsoft YaHei" w:eastAsia="Microsoft YaHei"/>
        </w:rPr>
        <w:t xml:space="preserve"> 来界定“上海市创新药产业”，即企业的核心价值创造环节——研发、管理与决策——是否根植于上海。</w:t>
      </w:r>
    </w:p>
    <w:p>
      <w:r>
        <w:rPr>
          <w:rFonts w:ascii="Microsoft YaHei" w:hAnsi="Microsoft YaHei" w:eastAsia="Microsoft YaHei"/>
        </w:rPr>
        <w:t>这一界定方式直接回应了投资中的关键问题：</w:t>
      </w:r>
      <w:r>
        <w:rPr>
          <w:rFonts w:ascii="Microsoft YaHei" w:hAnsi="Microsoft YaHei" w:eastAsia="Microsoft YaHei"/>
          <w:b/>
          <w:color w:val="1E40AF"/>
        </w:rPr>
        <w:t>我们投资的是上海的“创新生态”，还是上海的“土地厂房”？</w:t>
      </w:r>
      <w:r>
        <w:rPr>
          <w:rFonts w:ascii="Microsoft YaHei" w:hAnsi="Microsoft YaHei" w:eastAsia="Microsoft YaHei"/>
        </w:rPr>
        <w:t xml:space="preserve"> 显然，对于创新药而言，前者是核心。一个典型案例如：一家由海归科学家在上海张江创办的Biotech，其早期研发、靶点验证、先导化合物优化全部在上海完成，在获得关键临床前数据后，出于成本考虑将GMP（药品生产质量管理规范）生产基地设在江苏或浙江。按照本报告标准，该公司无疑是“上海创新药产业”的代表，其价值源于上海的智力密集、资本密集和临床资源密集的生态。反之，一家仅在上海郊区设有化药原料药工厂，但研发和总部均在华北的企业，则不被纳入核心分析范围。</w:t>
      </w:r>
    </w:p>
    <w:p>
      <w:r>
        <w:rPr>
          <w:rFonts w:ascii="Microsoft YaHei" w:hAnsi="Microsoft YaHei" w:eastAsia="Microsoft YaHei"/>
        </w:rPr>
        <w:t>这种界定使得上海产业的真实图景得以浮现：</w:t>
      </w:r>
      <w:r>
        <w:rPr>
          <w:rFonts w:ascii="Microsoft YaHei" w:hAnsi="Microsoft YaHei" w:eastAsia="Microsoft YaHei"/>
          <w:b/>
          <w:color w:val="1E40AF"/>
        </w:rPr>
        <w:t>上海是中国创新药的“首脑”和“引擎”，是创新想法、早期资本、高端人才和临床资源的汇聚地，但未必是最终产品的“产房”。</w:t>
      </w:r>
      <w:r>
        <w:rPr>
          <w:rFonts w:ascii="Microsoft YaHei" w:hAnsi="Microsoft YaHei" w:eastAsia="Microsoft YaHei"/>
        </w:rPr>
        <w:t xml:space="preserve"> 这对投资策略的启示在于：在上海，应重点寻找拥有</w:t>
      </w:r>
      <w:r>
        <w:rPr>
          <w:rFonts w:ascii="Microsoft YaHei" w:hAnsi="Microsoft YaHei" w:eastAsia="Microsoft YaHei"/>
          <w:b/>
          <w:color w:val="1E40AF"/>
        </w:rPr>
        <w:t>核心技术平台</w:t>
      </w:r>
      <w:r>
        <w:rPr>
          <w:rFonts w:ascii="Microsoft YaHei" w:hAnsi="Microsoft YaHei" w:eastAsia="Microsoft YaHei"/>
        </w:rPr>
        <w:t>、</w:t>
      </w:r>
      <w:r>
        <w:rPr>
          <w:rFonts w:ascii="Microsoft YaHei" w:hAnsi="Microsoft YaHei" w:eastAsia="Microsoft YaHei"/>
          <w:b/>
          <w:color w:val="1E40AF"/>
        </w:rPr>
        <w:t>顶尖科学团队</w:t>
      </w:r>
      <w:r>
        <w:rPr>
          <w:rFonts w:ascii="Microsoft YaHei" w:hAnsi="Microsoft YaHei" w:eastAsia="Microsoft YaHei"/>
        </w:rPr>
        <w:t>和</w:t>
      </w:r>
      <w:r>
        <w:rPr>
          <w:rFonts w:ascii="Microsoft YaHei" w:hAnsi="Microsoft YaHei" w:eastAsia="Microsoft YaHei"/>
          <w:b/>
          <w:color w:val="1E40AF"/>
        </w:rPr>
        <w:t>强大BD能力</w:t>
      </w:r>
      <w:r>
        <w:rPr>
          <w:rFonts w:ascii="Microsoft YaHei" w:hAnsi="Microsoft YaHei" w:eastAsia="Microsoft YaHei"/>
        </w:rPr>
        <w:t>的标的，而对于大规模、低成本制造能力的评估，则需放眼长三角乃至全国供应链。</w:t>
      </w:r>
    </w:p>
    <w:p>
      <w:pPr>
        <w:ind w:firstLine="0"/>
      </w:pPr>
      <w:r>
        <w:rPr>
          <w:rFonts w:ascii="Microsoft YaHei" w:hAnsi="Microsoft YaHei" w:eastAsia="Microsoft YaHei"/>
          <w:b/>
          <w:sz w:val="24"/>
        </w:rPr>
        <w:t>**1.3 时间边界：聚焦2024-2025年的关键转折期**</w:t>
      </w:r>
    </w:p>
    <w:p>
      <w:r>
        <w:rPr>
          <w:rFonts w:ascii="Microsoft YaHei" w:hAnsi="Microsoft YaHei" w:eastAsia="Microsoft YaHei"/>
        </w:rPr>
        <w:t>将研究的时间基准设为2024年，预测目标指向2025年，是基于对行业周期的前瞻性判断。2024年，中国创新药行业正处于一个关键节点：一级市场融资从狂热回归理性，二级市场估值经历深度回调，医保支付政策在“鼓励创新”与“控费增效”间持续平衡，同时，国产创新药出海（License-out）迎来里程碑式突破，但也面临地缘政治带来的新挑战。</w:t>
      </w:r>
    </w:p>
    <w:p>
      <w:r>
        <w:rPr>
          <w:rFonts w:ascii="Microsoft YaHei" w:hAnsi="Microsoft YaHei" w:eastAsia="Microsoft YaHei"/>
        </w:rPr>
        <w:t xml:space="preserve">在此背景下，2025年被视为一个重要的 </w:t>
      </w:r>
      <w:r>
        <w:rPr>
          <w:rFonts w:ascii="Microsoft YaHei" w:hAnsi="Microsoft YaHei" w:eastAsia="Microsoft YaHei"/>
          <w:b/>
          <w:color w:val="1E40AF"/>
        </w:rPr>
        <w:t>“验证年”和“分水岭”</w:t>
      </w:r>
      <w:r>
        <w:rPr>
          <w:rFonts w:ascii="Microsoft YaHei" w:hAnsi="Microsoft YaHei" w:eastAsia="Microsoft YaHei"/>
        </w:rPr>
        <w:t>。本报告的时间边界设定旨在：第一，</w:t>
      </w:r>
      <w:r>
        <w:rPr>
          <w:rFonts w:ascii="Microsoft YaHei" w:hAnsi="Microsoft YaHei" w:eastAsia="Microsoft YaHei"/>
          <w:b/>
          <w:color w:val="1E40AF"/>
        </w:rPr>
        <w:t>基于当前现实的困境与机遇</w:t>
      </w:r>
      <w:r>
        <w:rPr>
          <w:rFonts w:ascii="Microsoft YaHei" w:hAnsi="Microsoft YaHei" w:eastAsia="Microsoft YaHei"/>
        </w:rPr>
        <w:t>（如Biotech的现金流压力、CXO行业的订单结构变化），进行扎实的现状分析；第二，</w:t>
      </w:r>
      <w:r>
        <w:rPr>
          <w:rFonts w:ascii="Microsoft YaHei" w:hAnsi="Microsoft YaHei" w:eastAsia="Microsoft YaHei"/>
          <w:b/>
          <w:color w:val="1E40AF"/>
        </w:rPr>
        <w:t>对未来一年可能发生的趋势性变化进行预判</w:t>
      </w:r>
      <w:r>
        <w:rPr>
          <w:rFonts w:ascii="Microsoft YaHei" w:hAnsi="Microsoft YaHei" w:eastAsia="Microsoft YaHei"/>
        </w:rPr>
        <w:t>，例如：具有显著临床优势的差异化产品能否在医保谈判中获得更好定价？同质化管线是否会迎来大规模出清？上游供应链的国产替代是否会因国际形势而加速？这些判断将直接影响2025年的投资时点选择与项目筛选标准。</w:t>
      </w:r>
    </w:p>
    <w:p>
      <w:pPr>
        <w:ind w:firstLine="0"/>
      </w:pPr>
      <w:r>
        <w:rPr>
          <w:rFonts w:ascii="Microsoft YaHei" w:hAnsi="Microsoft YaHei" w:eastAsia="Microsoft YaHei"/>
          <w:b/>
          <w:sz w:val="24"/>
        </w:rPr>
        <w:t>**1.4 地理边界：以上海为圆心，进行全国差异化对标**</w:t>
      </w:r>
    </w:p>
    <w:p>
      <w:r>
        <w:rPr>
          <w:rFonts w:ascii="Microsoft YaHei" w:hAnsi="Microsoft YaHei" w:eastAsia="Microsoft YaHei"/>
        </w:rPr>
        <w:t>本报告以上海市为绝对核心，但所有分析均置于全国坐标系下。这意味着，在讨论上海的市场规模、产业链环节、企业竞争力时，将不断与北京（科研资源与政策中心）、江苏苏州/泰州（生产制造与CDMO集群）、广东深圳/广州（创新活跃与特区政策）等进行对比。</w:t>
      </w:r>
    </w:p>
    <w:p>
      <w:r>
        <w:rPr>
          <w:rFonts w:ascii="Microsoft YaHei" w:hAnsi="Microsoft YaHei" w:eastAsia="Microsoft YaHei"/>
        </w:rPr>
        <w:t>这种区域对比分析对于投资决策至关重要。它帮助投资者回答：</w:t>
      </w:r>
      <w:r>
        <w:rPr>
          <w:rFonts w:ascii="Microsoft YaHei" w:hAnsi="Microsoft YaHei" w:eastAsia="Microsoft YaHei"/>
          <w:b/>
          <w:color w:val="1E40AF"/>
        </w:rPr>
        <w:t>在上海投资某一环节，相比在其他区域，是优势还是劣势？成本如何？</w:t>
      </w:r>
      <w:r>
        <w:rPr>
          <w:rFonts w:ascii="Microsoft YaHei" w:hAnsi="Microsoft YaHei" w:eastAsia="Microsoft YaHei"/>
        </w:rPr>
        <w:t xml:space="preserve"> 例如，分析显示，上海在早期研发、临床CRO、前沿技术探索上具有无可比拟的优势，但在大规模生物药生产（CMO/CDMO）方面，土地、人力成本较高，其竞争力弱于苏州。因此，对于投资者而言，一个合理的策略可能是：</w:t>
      </w:r>
      <w:r>
        <w:rPr>
          <w:rFonts w:ascii="Microsoft YaHei" w:hAnsi="Microsoft YaHei" w:eastAsia="Microsoft YaHei"/>
          <w:b/>
          <w:color w:val="1E40AF"/>
        </w:rPr>
        <w:t>在上海投资专注于早期发现和平台技术的Biotech或特色CRO，而将其后期工艺开发和生产项目，引导或推荐至长三角成本更优的CDMO伙伴。</w:t>
      </w:r>
      <w:r>
        <w:rPr>
          <w:rFonts w:ascii="Microsoft YaHei" w:hAnsi="Microsoft YaHei" w:eastAsia="Microsoft YaHei"/>
        </w:rPr>
        <w:t xml:space="preserve"> 本报告的地理边界设定，正是为了支撑这种精细化、区域协同的投资布局思考。</w:t>
      </w:r>
    </w:p>
    <w:p>
      <w:pPr>
        <w:pStyle w:val="Heading3"/>
      </w:pPr>
      <w:r>
        <w:t>**四、对投资决策的直接影响**</w:t>
      </w:r>
    </w:p>
    <w:p>
      <w:pPr>
        <w:pStyle w:val="ListNumber"/>
        <w:ind w:firstLine="0"/>
      </w:pPr>
      <w:r>
        <w:rPr>
          <w:rFonts w:ascii="Microsoft YaHei" w:hAnsi="Microsoft YaHei" w:eastAsia="Microsoft YaHei"/>
        </w:rPr>
        <w:t xml:space="preserve"> **标的筛选的第一道过滤器**：本报告明确的“创新药”定义是投资团队项目初筛的核心工具。应优先关注符合表1-1中“纳入”范围，且具有明确全球创新性（Global FIC/BIC）或中国领先性（China FIC）的管线。对于大量存在的“伪创新”或“微创新”项目（如某些缺乏临床优势的改良型新药），应保持高度警惕，因其面临激烈的价格竞争和快速的专利悬崖，不符合创新药投资的高风险高回报本质。</w:t>
      </w:r>
    </w:p>
    <w:p>
      <w:pPr>
        <w:pStyle w:val="ListNumber"/>
        <w:ind w:firstLine="0"/>
      </w:pPr>
      <w:r>
        <w:rPr>
          <w:rFonts w:ascii="Microsoft YaHei" w:hAnsi="Microsoft YaHei" w:eastAsia="Microsoft YaHei"/>
        </w:rPr>
        <w:t xml:space="preserve"> **评估上海企业价值的正确视角**：在评估一家注册在上海或主要运营在上海的药企时，投资者应首要考察其**核心研发团队的背景与稳定性、内部研发平台的产出效率、以及与上海本地临床研究机构的合作深度**，而非过分纠结其生产基地是否位于上海。这意味着，对上海Biotech的尽职调查，应深度走访其在张江的实验室，访谈其科学创始人，并评估其利用上海临床资源的网络和能力。</w:t>
      </w:r>
    </w:p>
    <w:p>
      <w:pPr>
        <w:pStyle w:val="ListNumber"/>
        <w:ind w:firstLine="0"/>
      </w:pPr>
      <w:r>
        <w:rPr>
          <w:rFonts w:ascii="Microsoft YaHei" w:hAnsi="Microsoft YaHei" w:eastAsia="Microsoft YaHei"/>
        </w:rPr>
        <w:t xml:space="preserve"> **把握2025年的结构性投资窗口**：基于时间边界分析，当前至2025年是布局优质资产的战略时机。行业估值整体回调挤出了泡沫，但真正具备差异化技术和临床价值的企业其长期价值并未受损。投资者应利用这一时期，积极接触那些因市场情绪和融资环境短期受困、但基本面扎实的上海本土Biotech，或具有核心技术突破潜力的上游供应链企业。</w:t>
      </w:r>
    </w:p>
    <w:p>
      <w:pPr>
        <w:pStyle w:val="ListNumber"/>
        <w:ind w:firstLine="0"/>
      </w:pPr>
      <w:r>
        <w:rPr>
          <w:rFonts w:ascii="Microsoft YaHei" w:hAnsi="Microsoft YaHei" w:eastAsia="Microsoft YaHei"/>
        </w:rPr>
        <w:t xml:space="preserve"> **进行跨区域的产业链组合投资**：清晰的地理边界和区域对比分析，指导投资者不应局限于上海一地。理想的投资组合应进行**区域配置**：将早期、高风险的研发型项目布局于上海，以利用其顶尖人才和生态；同时，将中后期、对成本和规模敏感的CDMO或原料药项目，布局于江苏、浙江等具有制造优势的地区。这种组合能够平衡创新效率与产业化成本，最大化整体投资回报。</w:t>
      </w:r>
    </w:p>
    <w:p>
      <w:pPr>
        <w:pStyle w:val="ListNumber"/>
        <w:ind w:firstLine="0"/>
      </w:pPr>
      <w:r>
        <w:rPr>
          <w:rFonts w:ascii="Microsoft YaHei" w:hAnsi="Microsoft YaHei" w:eastAsia="Microsoft YaHei"/>
        </w:rPr>
        <w:t xml:space="preserve"> **明确不同资本类型的切入环节**：基于上述定义与边界，**专业VC**应聚焦于上海早期研发环节，投资于颠覆性技术平台（如新型CGT技术、AI驱动药物发现）；**成长期PE**可重点关注上海已进入临床中后期、拥有差异化数据且需要资金推进关键临床试验或准备商业化的Biotech；而**产业资本与并购基金**则应关注上海产业链的整合机会，例如收购具有特色技术平台的CRO/CDMO，或并购产品线与自身商业化能力互补的中小型Biotech。</w:t>
      </w:r>
    </w:p>
    <w:p>
      <w:pPr>
        <w:ind w:firstLine="0"/>
      </w:pPr>
      <w:r>
        <w:rPr>
          <w:color w:val="E5E7EB"/>
        </w:rPr>
        <w:t>──────────────────────────────────────────────────</w:t>
      </w:r>
    </w:p>
    <w:p>
      <w:pPr>
        <w:pStyle w:val="Heading2"/>
      </w:pPr>
      <w:r>
        <w:t>**第二章：市场规模与增长驱动力分析**</w:t>
      </w:r>
    </w:p>
    <w:p>
      <w:pPr>
        <w:pStyle w:val="Heading3"/>
      </w:pPr>
      <w:r>
        <w:t>**一、核心结论**</w:t>
      </w:r>
    </w:p>
    <w:p>
      <w:pPr>
        <w:pStyle w:val="ListNumber"/>
        <w:ind w:firstLine="0"/>
      </w:pPr>
      <w:r>
        <w:rPr>
          <w:rFonts w:ascii="Microsoft YaHei" w:hAnsi="Microsoft YaHei" w:eastAsia="Microsoft YaHei"/>
        </w:rPr>
        <w:t xml:space="preserve"> **中国创新药市场正从高速增长转向高质量增长，预计2025年市场规模将突破4000亿元，但增速将结构性放缓。** 这意味着投资逻辑需从追逐“管线数量”转向聚焦“临床价值与商业化兑现能力”。</w:t>
      </w:r>
    </w:p>
    <w:p>
      <w:pPr>
        <w:pStyle w:val="ListNumber"/>
        <w:ind w:firstLine="0"/>
      </w:pPr>
      <w:r>
        <w:rPr>
          <w:rFonts w:ascii="Microsoft YaHei" w:hAnsi="Microsoft YaHei" w:eastAsia="Microsoft YaHei"/>
        </w:rPr>
        <w:t xml:space="preserve"> **上海市作为全国创新药研发核心，其市场规模增速将持续领先全国，预计2025年占全国比重提升至约18%。** 这验证了上海在早期研发、临床资源和资本密集度上的集群优势，是布局前沿技术和早期项目的首选区域。</w:t>
      </w:r>
    </w:p>
    <w:p>
      <w:pPr>
        <w:pStyle w:val="ListNumber"/>
        <w:ind w:firstLine="0"/>
      </w:pPr>
      <w:r>
        <w:rPr>
          <w:rFonts w:ascii="Microsoft YaHei" w:hAnsi="Microsoft YaHei" w:eastAsia="Microsoft YaHei"/>
        </w:rPr>
        <w:t xml:space="preserve"> **肿瘤领域仍是最大市场但竞争白热化，自身免疫、神经系统疾病等赛道增速更高，呈现结构性蓝海机会。** 投资应避开同质化严重的肿瘤靶点，转向未满足临床需求大、支付意愿强的差异化治疗领域。</w:t>
      </w:r>
    </w:p>
    <w:p>
      <w:pPr>
        <w:pStyle w:val="ListNumber"/>
        <w:ind w:firstLine="0"/>
      </w:pPr>
      <w:r>
        <w:rPr>
          <w:rFonts w:ascii="Microsoft YaHei" w:hAnsi="Microsoft YaHei" w:eastAsia="Microsoft YaHei"/>
        </w:rPr>
        <w:t xml:space="preserve"> **创新药在整体药品市场中的渗透率将于2025年突破20%，但支付端（医保）仍是增长的核心约束与驱动变量。** 投资需高度关注企业的医保谈判策略、定价能力以及商业保险等多元支付渠道的开拓进展。</w:t>
      </w:r>
    </w:p>
    <w:p>
      <w:pPr>
        <w:pStyle w:val="ListNumber"/>
        <w:ind w:firstLine="0"/>
      </w:pPr>
      <w:r>
        <w:rPr>
          <w:rFonts w:ascii="Microsoft YaHei" w:hAnsi="Microsoft YaHei" w:eastAsia="Microsoft YaHei"/>
        </w:rPr>
        <w:t xml:space="preserve"> **驱动增长的核心因素正从单一的供给端（审评加速）转向支付端（医保改革）与需求端（疾病谱变化）的深度联动。** 这要求投资分析必须建立“技术可行性-临床需求-支付能力”的三维评估框架，单纯的技术领先不足以构成投资壁垒。</w:t>
      </w:r>
    </w:p>
    <w:p>
      <w:pPr>
        <w:pStyle w:val="Heading3"/>
      </w:pPr>
      <w:r>
        <w:t>**二、关键事实与数据**</w:t>
      </w:r>
    </w:p>
    <w:p>
      <w:r>
        <w:rPr>
          <w:rFonts w:ascii="Microsoft YaHei" w:hAnsi="Microsoft YaHei" w:eastAsia="Microsoft YaHei"/>
        </w:rPr>
      </w:r>
      <w:r>
        <w:rPr>
          <w:rFonts w:ascii="Microsoft YaHei" w:hAnsi="Microsoft YaHei" w:eastAsia="Microsoft YaHei"/>
          <w:b/>
          <w:color w:val="1E40AF"/>
        </w:rPr>
        <w:t>表 2-1 2021-2025年中国及上海市创新药市场规模与预测</w:t>
      </w:r>
      <w:r>
        <w:rPr>
          <w:rFonts w:ascii="Microsoft YaHei" w:hAnsi="Microsoft YaHei" w:eastAsia="Microsoft YaHei"/>
        </w:rPr>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shd w:fill="1e40af"/>
          </w:tcPr>
          <w:p>
            <w:pPr>
              <w:jc w:val="center"/>
            </w:pPr>
            <w:r>
              <w:rPr>
                <w:rFonts w:ascii="Microsoft YaHei" w:hAnsi="Microsoft YaHei" w:eastAsia="Microsoft YaHei"/>
                <w:b/>
                <w:color w:val="FFFFFF"/>
                <w:sz w:val="20"/>
              </w:rPr>
              <w:t>年份</w:t>
            </w:r>
          </w:p>
        </w:tc>
        <w:tc>
          <w:tcPr>
            <w:tcW w:type="dxa" w:w="1473"/>
            <w:shd w:fill="1e40af"/>
          </w:tcPr>
          <w:p>
            <w:pPr>
              <w:jc w:val="center"/>
            </w:pPr>
            <w:r>
              <w:rPr>
                <w:rFonts w:ascii="Microsoft YaHei" w:hAnsi="Microsoft YaHei" w:eastAsia="Microsoft YaHei"/>
                <w:b/>
                <w:color w:val="FFFFFF"/>
                <w:sz w:val="20"/>
              </w:rPr>
              <w:t>全国市场规模（亿元）</w:t>
            </w:r>
          </w:p>
        </w:tc>
        <w:tc>
          <w:tcPr>
            <w:tcW w:type="dxa" w:w="1473"/>
            <w:shd w:fill="1e40af"/>
          </w:tcPr>
          <w:p>
            <w:pPr>
              <w:jc w:val="center"/>
            </w:pPr>
            <w:r>
              <w:rPr>
                <w:rFonts w:ascii="Microsoft YaHei" w:hAnsi="Microsoft YaHei" w:eastAsia="Microsoft YaHei"/>
                <w:b/>
                <w:color w:val="FFFFFF"/>
                <w:sz w:val="20"/>
              </w:rPr>
              <w:t>全国同比增速（%）</w:t>
            </w:r>
          </w:p>
        </w:tc>
        <w:tc>
          <w:tcPr>
            <w:tcW w:type="dxa" w:w="1473"/>
            <w:shd w:fill="1e40af"/>
          </w:tcPr>
          <w:p>
            <w:pPr>
              <w:jc w:val="center"/>
            </w:pPr>
            <w:r>
              <w:rPr>
                <w:rFonts w:ascii="Microsoft YaHei" w:hAnsi="Microsoft YaHei" w:eastAsia="Microsoft YaHei"/>
                <w:b/>
                <w:color w:val="FFFFFF"/>
                <w:sz w:val="20"/>
              </w:rPr>
              <w:t>上海市市场规模（亿元）</w:t>
            </w:r>
          </w:p>
        </w:tc>
        <w:tc>
          <w:tcPr>
            <w:tcW w:type="dxa" w:w="1473"/>
            <w:shd w:fill="1e40af"/>
          </w:tcPr>
          <w:p>
            <w:pPr>
              <w:jc w:val="center"/>
            </w:pPr>
            <w:r>
              <w:rPr>
                <w:rFonts w:ascii="Microsoft YaHei" w:hAnsi="Microsoft YaHei" w:eastAsia="Microsoft YaHei"/>
                <w:b/>
                <w:color w:val="FFFFFF"/>
                <w:sz w:val="20"/>
              </w:rPr>
              <w:t>上海市同比增速（%）</w:t>
            </w:r>
          </w:p>
        </w:tc>
        <w:tc>
          <w:tcPr>
            <w:tcW w:type="dxa" w:w="1473"/>
            <w:shd w:fill="1e40af"/>
          </w:tcPr>
          <w:p>
            <w:pPr>
              <w:jc w:val="center"/>
            </w:pPr>
            <w:r>
              <w:rPr>
                <w:rFonts w:ascii="Microsoft YaHei" w:hAnsi="Microsoft YaHei" w:eastAsia="Microsoft YaHei"/>
                <w:b/>
                <w:color w:val="FFFFFF"/>
                <w:sz w:val="20"/>
              </w:rPr>
              <w:t>上海市占全国比例（%）</w:t>
            </w:r>
          </w:p>
        </w:tc>
      </w:tr>
      <w:tr>
        <w:tc>
          <w:tcPr>
            <w:tcW w:type="dxa" w:w="1473"/>
          </w:tcPr>
          <w:p>
            <w:pPr>
              <w:jc w:val="center"/>
            </w:pPr>
            <w:r>
              <w:rPr>
                <w:rFonts w:ascii="Microsoft YaHei" w:hAnsi="Microsoft YaHei" w:eastAsia="Microsoft YaHei"/>
                <w:sz w:val="20"/>
              </w:rPr>
              <w:t>2021</w:t>
            </w:r>
          </w:p>
        </w:tc>
        <w:tc>
          <w:tcPr>
            <w:tcW w:type="dxa" w:w="1473"/>
          </w:tcPr>
          <w:p>
            <w:pPr>
              <w:jc w:val="center"/>
            </w:pPr>
            <w:r>
              <w:rPr>
                <w:rFonts w:ascii="Microsoft YaHei" w:hAnsi="Microsoft YaHei" w:eastAsia="Microsoft YaHei"/>
                <w:sz w:val="20"/>
              </w:rPr>
              <w:t>2,150</w:t>
            </w:r>
          </w:p>
        </w:tc>
        <w:tc>
          <w:tcPr>
            <w:tcW w:type="dxa" w:w="1473"/>
          </w:tcPr>
          <w:p>
            <w:pPr>
              <w:jc w:val="center"/>
            </w:pPr>
            <w:r>
              <w:rPr>
                <w:rFonts w:ascii="Microsoft YaHei" w:hAnsi="Microsoft YaHei" w:eastAsia="Microsoft YaHei"/>
                <w:sz w:val="20"/>
              </w:rPr>
              <w:t>18.5</w:t>
            </w:r>
          </w:p>
        </w:tc>
        <w:tc>
          <w:tcPr>
            <w:tcW w:type="dxa" w:w="1473"/>
          </w:tcPr>
          <w:p>
            <w:pPr>
              <w:jc w:val="center"/>
            </w:pPr>
            <w:r>
              <w:rPr>
                <w:rFonts w:ascii="Microsoft YaHei" w:hAnsi="Microsoft YaHei" w:eastAsia="Microsoft YaHei"/>
                <w:sz w:val="20"/>
              </w:rPr>
              <w:t>350</w:t>
            </w:r>
          </w:p>
        </w:tc>
        <w:tc>
          <w:tcPr>
            <w:tcW w:type="dxa" w:w="1473"/>
          </w:tcPr>
          <w:p>
            <w:pPr>
              <w:jc w:val="center"/>
            </w:pPr>
            <w:r>
              <w:rPr>
                <w:rFonts w:ascii="Microsoft YaHei" w:hAnsi="Microsoft YaHei" w:eastAsia="Microsoft YaHei"/>
                <w:sz w:val="20"/>
              </w:rPr>
              <w:t>22.8</w:t>
            </w:r>
          </w:p>
        </w:tc>
        <w:tc>
          <w:tcPr>
            <w:tcW w:type="dxa" w:w="1473"/>
          </w:tcPr>
          <w:p>
            <w:pPr>
              <w:jc w:val="center"/>
            </w:pPr>
            <w:r>
              <w:rPr>
                <w:rFonts w:ascii="Microsoft YaHei" w:hAnsi="Microsoft YaHei" w:eastAsia="Microsoft YaHei"/>
                <w:sz w:val="20"/>
              </w:rPr>
              <w:t>16.3</w:t>
            </w:r>
          </w:p>
        </w:tc>
      </w:tr>
      <w:tr>
        <w:tc>
          <w:tcPr>
            <w:tcW w:type="dxa" w:w="1473"/>
            <w:shd w:fill="f8fafc"/>
          </w:tcPr>
          <w:p>
            <w:pPr>
              <w:jc w:val="center"/>
            </w:pPr>
            <w:r>
              <w:rPr>
                <w:rFonts w:ascii="Microsoft YaHei" w:hAnsi="Microsoft YaHei" w:eastAsia="Microsoft YaHei"/>
                <w:sz w:val="20"/>
              </w:rPr>
              <w:t>2022</w:t>
            </w:r>
          </w:p>
        </w:tc>
        <w:tc>
          <w:tcPr>
            <w:tcW w:type="dxa" w:w="1473"/>
            <w:shd w:fill="f8fafc"/>
          </w:tcPr>
          <w:p>
            <w:pPr>
              <w:jc w:val="center"/>
            </w:pPr>
            <w:r>
              <w:rPr>
                <w:rFonts w:ascii="Microsoft YaHei" w:hAnsi="Microsoft YaHei" w:eastAsia="Microsoft YaHei"/>
                <w:sz w:val="20"/>
              </w:rPr>
              <w:t>2,580</w:t>
            </w:r>
          </w:p>
        </w:tc>
        <w:tc>
          <w:tcPr>
            <w:tcW w:type="dxa" w:w="1473"/>
            <w:shd w:fill="f8fafc"/>
          </w:tcPr>
          <w:p>
            <w:pPr>
              <w:jc w:val="center"/>
            </w:pPr>
            <w:r>
              <w:rPr>
                <w:rFonts w:ascii="Microsoft YaHei" w:hAnsi="Microsoft YaHei" w:eastAsia="Microsoft YaHei"/>
                <w:sz w:val="20"/>
              </w:rPr>
              <w:t>20.0</w:t>
            </w:r>
          </w:p>
        </w:tc>
        <w:tc>
          <w:tcPr>
            <w:tcW w:type="dxa" w:w="1473"/>
            <w:shd w:fill="f8fafc"/>
          </w:tcPr>
          <w:p>
            <w:pPr>
              <w:jc w:val="center"/>
            </w:pPr>
            <w:r>
              <w:rPr>
                <w:rFonts w:ascii="Microsoft YaHei" w:hAnsi="Microsoft YaHei" w:eastAsia="Microsoft YaHei"/>
                <w:sz w:val="20"/>
              </w:rPr>
              <w:t>430</w:t>
            </w:r>
          </w:p>
        </w:tc>
        <w:tc>
          <w:tcPr>
            <w:tcW w:type="dxa" w:w="1473"/>
            <w:shd w:fill="f8fafc"/>
          </w:tcPr>
          <w:p>
            <w:pPr>
              <w:jc w:val="center"/>
            </w:pPr>
            <w:r>
              <w:rPr>
                <w:rFonts w:ascii="Microsoft YaHei" w:hAnsi="Microsoft YaHei" w:eastAsia="Microsoft YaHei"/>
                <w:sz w:val="20"/>
              </w:rPr>
              <w:t>22.9</w:t>
            </w:r>
          </w:p>
        </w:tc>
        <w:tc>
          <w:tcPr>
            <w:tcW w:type="dxa" w:w="1473"/>
            <w:shd w:fill="f8fafc"/>
          </w:tcPr>
          <w:p>
            <w:pPr>
              <w:jc w:val="center"/>
            </w:pPr>
            <w:r>
              <w:rPr>
                <w:rFonts w:ascii="Microsoft YaHei" w:hAnsi="Microsoft YaHei" w:eastAsia="Microsoft YaHei"/>
                <w:sz w:val="20"/>
              </w:rPr>
              <w:t>16.7</w:t>
            </w:r>
          </w:p>
        </w:tc>
      </w:tr>
      <w:tr>
        <w:tc>
          <w:tcPr>
            <w:tcW w:type="dxa" w:w="1473"/>
          </w:tcPr>
          <w:p>
            <w:pPr>
              <w:jc w:val="center"/>
            </w:pPr>
            <w:r>
              <w:rPr>
                <w:rFonts w:ascii="Microsoft YaHei" w:hAnsi="Microsoft YaHei" w:eastAsia="Microsoft YaHei"/>
                <w:sz w:val="20"/>
              </w:rPr>
              <w:t>2023</w:t>
            </w:r>
          </w:p>
        </w:tc>
        <w:tc>
          <w:tcPr>
            <w:tcW w:type="dxa" w:w="1473"/>
          </w:tcPr>
          <w:p>
            <w:pPr>
              <w:jc w:val="center"/>
            </w:pPr>
            <w:r>
              <w:rPr>
                <w:rFonts w:ascii="Microsoft YaHei" w:hAnsi="Microsoft YaHei" w:eastAsia="Microsoft YaHei"/>
                <w:sz w:val="20"/>
              </w:rPr>
              <w:t>3,050</w:t>
            </w:r>
          </w:p>
        </w:tc>
        <w:tc>
          <w:tcPr>
            <w:tcW w:type="dxa" w:w="1473"/>
          </w:tcPr>
          <w:p>
            <w:pPr>
              <w:jc w:val="center"/>
            </w:pPr>
            <w:r>
              <w:rPr>
                <w:rFonts w:ascii="Microsoft YaHei" w:hAnsi="Microsoft YaHei" w:eastAsia="Microsoft YaHei"/>
                <w:sz w:val="20"/>
              </w:rPr>
              <w:t>18.2</w:t>
            </w:r>
          </w:p>
        </w:tc>
        <w:tc>
          <w:tcPr>
            <w:tcW w:type="dxa" w:w="1473"/>
          </w:tcPr>
          <w:p>
            <w:pPr>
              <w:jc w:val="center"/>
            </w:pPr>
            <w:r>
              <w:rPr>
                <w:rFonts w:ascii="Microsoft YaHei" w:hAnsi="Microsoft YaHei" w:eastAsia="Microsoft YaHei"/>
                <w:sz w:val="20"/>
              </w:rPr>
              <w:t>520</w:t>
            </w:r>
          </w:p>
        </w:tc>
        <w:tc>
          <w:tcPr>
            <w:tcW w:type="dxa" w:w="1473"/>
          </w:tcPr>
          <w:p>
            <w:pPr>
              <w:jc w:val="center"/>
            </w:pPr>
            <w:r>
              <w:rPr>
                <w:rFonts w:ascii="Microsoft YaHei" w:hAnsi="Microsoft YaHei" w:eastAsia="Microsoft YaHei"/>
                <w:sz w:val="20"/>
              </w:rPr>
              <w:t>20.9</w:t>
            </w:r>
          </w:p>
        </w:tc>
        <w:tc>
          <w:tcPr>
            <w:tcW w:type="dxa" w:w="1473"/>
          </w:tcPr>
          <w:p>
            <w:pPr>
              <w:jc w:val="center"/>
            </w:pPr>
            <w:r>
              <w:rPr>
                <w:rFonts w:ascii="Microsoft YaHei" w:hAnsi="Microsoft YaHei" w:eastAsia="Microsoft YaHei"/>
                <w:sz w:val="20"/>
              </w:rPr>
              <w:t>17.0</w:t>
            </w:r>
          </w:p>
        </w:tc>
      </w:tr>
      <w:tr>
        <w:tc>
          <w:tcPr>
            <w:tcW w:type="dxa" w:w="1473"/>
            <w:shd w:fill="f8fafc"/>
          </w:tcPr>
          <w:p>
            <w:pPr>
              <w:jc w:val="center"/>
            </w:pPr>
            <w:r>
              <w:rPr>
                <w:rFonts w:ascii="Microsoft YaHei" w:hAnsi="Microsoft YaHei" w:eastAsia="Microsoft YaHei"/>
                <w:sz w:val="20"/>
              </w:rPr>
              <w:t>2024E</w:t>
            </w:r>
          </w:p>
        </w:tc>
        <w:tc>
          <w:tcPr>
            <w:tcW w:type="dxa" w:w="1473"/>
            <w:shd w:fill="f8fafc"/>
          </w:tcPr>
          <w:p>
            <w:pPr>
              <w:jc w:val="center"/>
            </w:pPr>
            <w:r>
              <w:rPr>
                <w:rFonts w:ascii="Microsoft YaHei" w:hAnsi="Microsoft YaHei" w:eastAsia="Microsoft YaHei"/>
                <w:sz w:val="20"/>
              </w:rPr>
              <w:t>3,520</w:t>
            </w:r>
          </w:p>
        </w:tc>
        <w:tc>
          <w:tcPr>
            <w:tcW w:type="dxa" w:w="1473"/>
            <w:shd w:fill="f8fafc"/>
          </w:tcPr>
          <w:p>
            <w:pPr>
              <w:jc w:val="center"/>
            </w:pPr>
            <w:r>
              <w:rPr>
                <w:rFonts w:ascii="Microsoft YaHei" w:hAnsi="Microsoft YaHei" w:eastAsia="Microsoft YaHei"/>
                <w:sz w:val="20"/>
              </w:rPr>
              <w:t>15.4</w:t>
            </w:r>
          </w:p>
        </w:tc>
        <w:tc>
          <w:tcPr>
            <w:tcW w:type="dxa" w:w="1473"/>
            <w:shd w:fill="f8fafc"/>
          </w:tcPr>
          <w:p>
            <w:pPr>
              <w:jc w:val="center"/>
            </w:pPr>
            <w:r>
              <w:rPr>
                <w:rFonts w:ascii="Microsoft YaHei" w:hAnsi="Microsoft YaHei" w:eastAsia="Microsoft YaHei"/>
                <w:sz w:val="20"/>
              </w:rPr>
              <w:t>620</w:t>
            </w:r>
          </w:p>
        </w:tc>
        <w:tc>
          <w:tcPr>
            <w:tcW w:type="dxa" w:w="1473"/>
            <w:shd w:fill="f8fafc"/>
          </w:tcPr>
          <w:p>
            <w:pPr>
              <w:jc w:val="center"/>
            </w:pPr>
            <w:r>
              <w:rPr>
                <w:rFonts w:ascii="Microsoft YaHei" w:hAnsi="Microsoft YaHei" w:eastAsia="Microsoft YaHei"/>
                <w:sz w:val="20"/>
              </w:rPr>
              <w:t>19.2</w:t>
            </w:r>
          </w:p>
        </w:tc>
        <w:tc>
          <w:tcPr>
            <w:tcW w:type="dxa" w:w="1473"/>
            <w:shd w:fill="f8fafc"/>
          </w:tcPr>
          <w:p>
            <w:pPr>
              <w:jc w:val="center"/>
            </w:pPr>
            <w:r>
              <w:rPr>
                <w:rFonts w:ascii="Microsoft YaHei" w:hAnsi="Microsoft YaHei" w:eastAsia="Microsoft YaHei"/>
                <w:sz w:val="20"/>
              </w:rPr>
              <w:t>17.6</w:t>
            </w:r>
          </w:p>
        </w:tc>
      </w:tr>
      <w:tr>
        <w:tc>
          <w:tcPr>
            <w:tcW w:type="dxa" w:w="1473"/>
          </w:tcPr>
          <w:p>
            <w:pPr>
              <w:jc w:val="center"/>
            </w:pPr>
            <w:r>
              <w:rPr>
                <w:rFonts w:ascii="Microsoft YaHei" w:hAnsi="Microsoft YaHei" w:eastAsia="Microsoft YaHei"/>
                <w:sz w:val="20"/>
              </w:rPr>
              <w:t>2025E</w:t>
            </w:r>
          </w:p>
        </w:tc>
        <w:tc>
          <w:tcPr>
            <w:tcW w:type="dxa" w:w="1473"/>
          </w:tcPr>
          <w:p>
            <w:pPr>
              <w:jc w:val="center"/>
            </w:pPr>
            <w:r>
              <w:rPr>
                <w:rFonts w:ascii="Microsoft YaHei" w:hAnsi="Microsoft YaHei" w:eastAsia="Microsoft YaHei"/>
                <w:sz w:val="20"/>
              </w:rPr>
              <w:t>4,050</w:t>
            </w:r>
          </w:p>
        </w:tc>
        <w:tc>
          <w:tcPr>
            <w:tcW w:type="dxa" w:w="1473"/>
          </w:tcPr>
          <w:p>
            <w:pPr>
              <w:jc w:val="center"/>
            </w:pPr>
            <w:r>
              <w:rPr>
                <w:rFonts w:ascii="Microsoft YaHei" w:hAnsi="Microsoft YaHei" w:eastAsia="Microsoft YaHei"/>
                <w:sz w:val="20"/>
              </w:rPr>
              <w:t>15.1</w:t>
            </w:r>
          </w:p>
        </w:tc>
        <w:tc>
          <w:tcPr>
            <w:tcW w:type="dxa" w:w="1473"/>
          </w:tcPr>
          <w:p>
            <w:pPr>
              <w:jc w:val="center"/>
            </w:pPr>
            <w:r>
              <w:rPr>
                <w:rFonts w:ascii="Microsoft YaHei" w:hAnsi="Microsoft YaHei" w:eastAsia="Microsoft YaHei"/>
                <w:sz w:val="20"/>
              </w:rPr>
              <w:t>730</w:t>
            </w:r>
          </w:p>
        </w:tc>
        <w:tc>
          <w:tcPr>
            <w:tcW w:type="dxa" w:w="1473"/>
          </w:tcPr>
          <w:p>
            <w:pPr>
              <w:jc w:val="center"/>
            </w:pPr>
            <w:r>
              <w:rPr>
                <w:rFonts w:ascii="Microsoft YaHei" w:hAnsi="Microsoft YaHei" w:eastAsia="Microsoft YaHei"/>
                <w:sz w:val="20"/>
              </w:rPr>
              <w:t>17.7</w:t>
            </w:r>
          </w:p>
        </w:tc>
        <w:tc>
          <w:tcPr>
            <w:tcW w:type="dxa" w:w="1473"/>
          </w:tcPr>
          <w:p>
            <w:pPr>
              <w:jc w:val="center"/>
            </w:pPr>
            <w:r>
              <w:rPr>
                <w:rFonts w:ascii="Microsoft YaHei" w:hAnsi="Microsoft YaHei" w:eastAsia="Microsoft YaHei"/>
                <w:sz w:val="20"/>
              </w:rPr>
              <w:t>18.0</w:t>
            </w:r>
          </w:p>
        </w:tc>
      </w:tr>
    </w:tbl>
    <w:p/>
    <w:p>
      <w:r>
        <w:rPr>
          <w:rFonts w:ascii="Microsoft YaHei" w:hAnsi="Microsoft YaHei" w:eastAsia="Microsoft YaHei"/>
        </w:rPr>
      </w:r>
      <w:r>
        <w:rPr>
          <w:rFonts w:ascii="Microsoft YaHei" w:hAnsi="Microsoft YaHei" w:eastAsia="Microsoft YaHei"/>
          <w:i/>
        </w:rPr>
        <w:t>数据来源：综合灼识咨询、弗若斯特沙利文报告及上海市生物医药产业年度报告数据测算。注：市场规模指已上市创新药的终端销售额。</w:t>
      </w:r>
      <w:r>
        <w:rPr>
          <w:rFonts w:ascii="Microsoft YaHei" w:hAnsi="Microsoft YaHei" w:eastAsia="Microsoft YaHei"/>
        </w:rPr>
      </w:r>
    </w:p>
    <w:p>
      <w:r>
        <w:rPr>
          <w:rFonts w:ascii="Microsoft YaHei" w:hAnsi="Microsoft YaHei" w:eastAsia="Microsoft YaHei"/>
        </w:rPr>
      </w:r>
      <w:r>
        <w:rPr>
          <w:rFonts w:ascii="Microsoft YaHei" w:hAnsi="Microsoft YaHei" w:eastAsia="Microsoft YaHei"/>
          <w:b/>
          <w:color w:val="1E40AF"/>
        </w:rPr>
        <w:t>表 2-2 2025年创新药主要治疗领域市场规模与增长预测</w:t>
      </w:r>
      <w:r>
        <w:rPr>
          <w:rFonts w:ascii="Microsoft YaHei" w:hAnsi="Microsoft YaHei" w:eastAsia="Microsoft YaHei"/>
        </w:rPr>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fill="1e40af"/>
          </w:tcPr>
          <w:p>
            <w:pPr>
              <w:jc w:val="center"/>
            </w:pPr>
            <w:r>
              <w:rPr>
                <w:rFonts w:ascii="Microsoft YaHei" w:hAnsi="Microsoft YaHei" w:eastAsia="Microsoft YaHei"/>
                <w:b/>
                <w:color w:val="FFFFFF"/>
                <w:sz w:val="20"/>
              </w:rPr>
              <w:t>治疗领域</w:t>
            </w:r>
          </w:p>
        </w:tc>
        <w:tc>
          <w:tcPr>
            <w:tcW w:type="dxa" w:w="1768"/>
            <w:shd w:fill="1e40af"/>
          </w:tcPr>
          <w:p>
            <w:pPr>
              <w:jc w:val="center"/>
            </w:pPr>
            <w:r>
              <w:rPr>
                <w:rFonts w:ascii="Microsoft YaHei" w:hAnsi="Microsoft YaHei" w:eastAsia="Microsoft YaHei"/>
                <w:b/>
                <w:color w:val="FFFFFF"/>
                <w:sz w:val="20"/>
              </w:rPr>
              <w:t>2023年市场规模（亿元）</w:t>
            </w:r>
          </w:p>
        </w:tc>
        <w:tc>
          <w:tcPr>
            <w:tcW w:type="dxa" w:w="1768"/>
            <w:shd w:fill="1e40af"/>
          </w:tcPr>
          <w:p>
            <w:pPr>
              <w:jc w:val="center"/>
            </w:pPr>
            <w:r>
              <w:rPr>
                <w:rFonts w:ascii="Microsoft YaHei" w:hAnsi="Microsoft YaHei" w:eastAsia="Microsoft YaHei"/>
                <w:b/>
                <w:color w:val="FFFFFF"/>
                <w:sz w:val="20"/>
              </w:rPr>
              <w:t>预计2025年市场规模（亿元）</w:t>
            </w:r>
          </w:p>
        </w:tc>
        <w:tc>
          <w:tcPr>
            <w:tcW w:type="dxa" w:w="1768"/>
            <w:shd w:fill="1e40af"/>
          </w:tcPr>
          <w:p>
            <w:pPr>
              <w:jc w:val="center"/>
            </w:pPr>
            <w:r>
              <w:rPr>
                <w:rFonts w:ascii="Microsoft YaHei" w:hAnsi="Microsoft YaHei" w:eastAsia="Microsoft YaHei"/>
                <w:b/>
                <w:color w:val="FFFFFF"/>
                <w:sz w:val="20"/>
              </w:rPr>
              <w:t>2023-2025年CAGR（%）</w:t>
            </w:r>
          </w:p>
        </w:tc>
        <w:tc>
          <w:tcPr>
            <w:tcW w:type="dxa" w:w="1768"/>
            <w:shd w:fill="1e40af"/>
          </w:tcPr>
          <w:p>
            <w:pPr>
              <w:jc w:val="center"/>
            </w:pPr>
            <w:r>
              <w:rPr>
                <w:rFonts w:ascii="Microsoft YaHei" w:hAnsi="Microsoft YaHei" w:eastAsia="Microsoft YaHei"/>
                <w:b/>
                <w:color w:val="FFFFFF"/>
                <w:sz w:val="20"/>
              </w:rPr>
              <w:t>主要驱动因素</w:t>
            </w:r>
          </w:p>
        </w:tc>
      </w:tr>
      <w:tr>
        <w:tc>
          <w:tcPr>
            <w:tcW w:type="dxa" w:w="1768"/>
          </w:tcPr>
          <w:p>
            <w:pPr>
              <w:jc w:val="center"/>
            </w:pPr>
            <w:r>
              <w:rPr>
                <w:rFonts w:ascii="Microsoft YaHei" w:hAnsi="Microsoft YaHei" w:eastAsia="Microsoft YaHei"/>
                <w:sz w:val="20"/>
              </w:rPr>
              <w:t>**肿瘤**</w:t>
            </w:r>
          </w:p>
        </w:tc>
        <w:tc>
          <w:tcPr>
            <w:tcW w:type="dxa" w:w="1768"/>
          </w:tcPr>
          <w:p>
            <w:pPr>
              <w:jc w:val="center"/>
            </w:pPr>
            <w:r>
              <w:rPr>
                <w:rFonts w:ascii="Microsoft YaHei" w:hAnsi="Microsoft YaHei" w:eastAsia="Microsoft YaHei"/>
                <w:sz w:val="20"/>
              </w:rPr>
              <w:t>1,650</w:t>
            </w:r>
          </w:p>
        </w:tc>
        <w:tc>
          <w:tcPr>
            <w:tcW w:type="dxa" w:w="1768"/>
          </w:tcPr>
          <w:p>
            <w:pPr>
              <w:jc w:val="center"/>
            </w:pPr>
            <w:r>
              <w:rPr>
                <w:rFonts w:ascii="Microsoft YaHei" w:hAnsi="Microsoft YaHei" w:eastAsia="Microsoft YaHei"/>
                <w:sz w:val="20"/>
              </w:rPr>
              <w:t>2,050</w:t>
            </w:r>
          </w:p>
        </w:tc>
        <w:tc>
          <w:tcPr>
            <w:tcW w:type="dxa" w:w="1768"/>
          </w:tcPr>
          <w:p>
            <w:pPr>
              <w:jc w:val="center"/>
            </w:pPr>
            <w:r>
              <w:rPr>
                <w:rFonts w:ascii="Microsoft YaHei" w:hAnsi="Microsoft YaHei" w:eastAsia="Microsoft YaHei"/>
                <w:sz w:val="20"/>
              </w:rPr>
              <w:t>11.5</w:t>
            </w:r>
          </w:p>
        </w:tc>
        <w:tc>
          <w:tcPr>
            <w:tcW w:type="dxa" w:w="1768"/>
          </w:tcPr>
          <w:p>
            <w:pPr>
              <w:jc w:val="center"/>
            </w:pPr>
            <w:r>
              <w:rPr>
                <w:rFonts w:ascii="Microsoft YaHei" w:hAnsi="Microsoft YaHei" w:eastAsia="Microsoft YaHei"/>
                <w:sz w:val="20"/>
              </w:rPr>
              <w:t>患者基数庞大，新机制药物（ADC、双抗等）陆续上市，但PD-1等成熟靶点面临集采与价格战。</w:t>
            </w:r>
          </w:p>
        </w:tc>
      </w:tr>
      <w:tr>
        <w:tc>
          <w:tcPr>
            <w:tcW w:type="dxa" w:w="1768"/>
            <w:shd w:fill="f8fafc"/>
          </w:tcPr>
          <w:p>
            <w:pPr>
              <w:jc w:val="center"/>
            </w:pPr>
            <w:r>
              <w:rPr>
                <w:rFonts w:ascii="Microsoft YaHei" w:hAnsi="Microsoft YaHei" w:eastAsia="Microsoft YaHei"/>
                <w:sz w:val="20"/>
              </w:rPr>
              <w:t>**自身免疫**</w:t>
            </w:r>
          </w:p>
        </w:tc>
        <w:tc>
          <w:tcPr>
            <w:tcW w:type="dxa" w:w="1768"/>
            <w:shd w:fill="f8fafc"/>
          </w:tcPr>
          <w:p>
            <w:pPr>
              <w:jc w:val="center"/>
            </w:pPr>
            <w:r>
              <w:rPr>
                <w:rFonts w:ascii="Microsoft YaHei" w:hAnsi="Microsoft YaHei" w:eastAsia="Microsoft YaHei"/>
                <w:sz w:val="20"/>
              </w:rPr>
              <w:t>380</w:t>
            </w:r>
          </w:p>
        </w:tc>
        <w:tc>
          <w:tcPr>
            <w:tcW w:type="dxa" w:w="1768"/>
            <w:shd w:fill="f8fafc"/>
          </w:tcPr>
          <w:p>
            <w:pPr>
              <w:jc w:val="center"/>
            </w:pPr>
            <w:r>
              <w:rPr>
                <w:rFonts w:ascii="Microsoft YaHei" w:hAnsi="Microsoft YaHei" w:eastAsia="Microsoft YaHei"/>
                <w:sz w:val="20"/>
              </w:rPr>
              <w:t>580</w:t>
            </w:r>
          </w:p>
        </w:tc>
        <w:tc>
          <w:tcPr>
            <w:tcW w:type="dxa" w:w="1768"/>
            <w:shd w:fill="f8fafc"/>
          </w:tcPr>
          <w:p>
            <w:pPr>
              <w:jc w:val="center"/>
            </w:pPr>
            <w:r>
              <w:rPr>
                <w:rFonts w:ascii="Microsoft YaHei" w:hAnsi="Microsoft YaHei" w:eastAsia="Microsoft YaHei"/>
                <w:sz w:val="20"/>
              </w:rPr>
              <w:t>23.6</w:t>
            </w:r>
          </w:p>
        </w:tc>
        <w:tc>
          <w:tcPr>
            <w:tcW w:type="dxa" w:w="1768"/>
            <w:shd w:fill="f8fafc"/>
          </w:tcPr>
          <w:p>
            <w:pPr>
              <w:jc w:val="center"/>
            </w:pPr>
            <w:r>
              <w:rPr>
                <w:rFonts w:ascii="Microsoft YaHei" w:hAnsi="Microsoft YaHei" w:eastAsia="Microsoft YaHei"/>
                <w:sz w:val="20"/>
              </w:rPr>
              <w:t>诊断率提升，生物制剂对传统疗法的替代，IL-17、JAK抑制剂等新靶点药物放量。</w:t>
            </w:r>
          </w:p>
        </w:tc>
      </w:tr>
      <w:tr>
        <w:tc>
          <w:tcPr>
            <w:tcW w:type="dxa" w:w="1768"/>
          </w:tcPr>
          <w:p>
            <w:pPr>
              <w:jc w:val="center"/>
            </w:pPr>
            <w:r>
              <w:rPr>
                <w:rFonts w:ascii="Microsoft YaHei" w:hAnsi="Microsoft YaHei" w:eastAsia="Microsoft YaHei"/>
                <w:sz w:val="20"/>
              </w:rPr>
              <w:t>**代谢疾病**</w:t>
            </w:r>
          </w:p>
        </w:tc>
        <w:tc>
          <w:tcPr>
            <w:tcW w:type="dxa" w:w="1768"/>
          </w:tcPr>
          <w:p>
            <w:pPr>
              <w:jc w:val="center"/>
            </w:pPr>
            <w:r>
              <w:rPr>
                <w:rFonts w:ascii="Microsoft YaHei" w:hAnsi="Microsoft YaHei" w:eastAsia="Microsoft YaHei"/>
                <w:sz w:val="20"/>
              </w:rPr>
              <w:t>320</w:t>
            </w:r>
          </w:p>
        </w:tc>
        <w:tc>
          <w:tcPr>
            <w:tcW w:type="dxa" w:w="1768"/>
          </w:tcPr>
          <w:p>
            <w:pPr>
              <w:jc w:val="center"/>
            </w:pPr>
            <w:r>
              <w:rPr>
                <w:rFonts w:ascii="Microsoft YaHei" w:hAnsi="Microsoft YaHei" w:eastAsia="Microsoft YaHei"/>
                <w:sz w:val="20"/>
              </w:rPr>
              <w:t>460</w:t>
            </w:r>
          </w:p>
        </w:tc>
        <w:tc>
          <w:tcPr>
            <w:tcW w:type="dxa" w:w="1768"/>
          </w:tcPr>
          <w:p>
            <w:pPr>
              <w:jc w:val="center"/>
            </w:pPr>
            <w:r>
              <w:rPr>
                <w:rFonts w:ascii="Microsoft YaHei" w:hAnsi="Microsoft YaHei" w:eastAsia="Microsoft YaHei"/>
                <w:sz w:val="20"/>
              </w:rPr>
              <w:t>19.9</w:t>
            </w:r>
          </w:p>
        </w:tc>
        <w:tc>
          <w:tcPr>
            <w:tcW w:type="dxa" w:w="1768"/>
          </w:tcPr>
          <w:p>
            <w:pPr>
              <w:jc w:val="center"/>
            </w:pPr>
            <w:r>
              <w:rPr>
                <w:rFonts w:ascii="Microsoft YaHei" w:hAnsi="Microsoft YaHei" w:eastAsia="Microsoft YaHei"/>
                <w:sz w:val="20"/>
              </w:rPr>
              <w:t>GLP-1类药物在糖尿病及减重领域的爆发式需求，心血管结局获益带来支付溢价。</w:t>
            </w:r>
          </w:p>
        </w:tc>
      </w:tr>
      <w:tr>
        <w:tc>
          <w:tcPr>
            <w:tcW w:type="dxa" w:w="1768"/>
            <w:shd w:fill="f8fafc"/>
          </w:tcPr>
          <w:p>
            <w:pPr>
              <w:jc w:val="center"/>
            </w:pPr>
            <w:r>
              <w:rPr>
                <w:rFonts w:ascii="Microsoft YaHei" w:hAnsi="Microsoft YaHei" w:eastAsia="Microsoft YaHei"/>
                <w:sz w:val="20"/>
              </w:rPr>
              <w:t>**神经系统**</w:t>
            </w:r>
          </w:p>
        </w:tc>
        <w:tc>
          <w:tcPr>
            <w:tcW w:type="dxa" w:w="1768"/>
            <w:shd w:fill="f8fafc"/>
          </w:tcPr>
          <w:p>
            <w:pPr>
              <w:jc w:val="center"/>
            </w:pPr>
            <w:r>
              <w:rPr>
                <w:rFonts w:ascii="Microsoft YaHei" w:hAnsi="Microsoft YaHei" w:eastAsia="Microsoft YaHei"/>
                <w:sz w:val="20"/>
              </w:rPr>
              <w:t>180</w:t>
            </w:r>
          </w:p>
        </w:tc>
        <w:tc>
          <w:tcPr>
            <w:tcW w:type="dxa" w:w="1768"/>
            <w:shd w:fill="f8fafc"/>
          </w:tcPr>
          <w:p>
            <w:pPr>
              <w:jc w:val="center"/>
            </w:pPr>
            <w:r>
              <w:rPr>
                <w:rFonts w:ascii="Microsoft YaHei" w:hAnsi="Microsoft YaHei" w:eastAsia="Microsoft YaHei"/>
                <w:sz w:val="20"/>
              </w:rPr>
              <w:t>300</w:t>
            </w:r>
          </w:p>
        </w:tc>
        <w:tc>
          <w:tcPr>
            <w:tcW w:type="dxa" w:w="1768"/>
            <w:shd w:fill="f8fafc"/>
          </w:tcPr>
          <w:p>
            <w:pPr>
              <w:jc w:val="center"/>
            </w:pPr>
            <w:r>
              <w:rPr>
                <w:rFonts w:ascii="Microsoft YaHei" w:hAnsi="Microsoft YaHei" w:eastAsia="Microsoft YaHei"/>
                <w:sz w:val="20"/>
              </w:rPr>
              <w:t>29.1</w:t>
            </w:r>
          </w:p>
        </w:tc>
        <w:tc>
          <w:tcPr>
            <w:tcW w:type="dxa" w:w="1768"/>
            <w:shd w:fill="f8fafc"/>
          </w:tcPr>
          <w:p>
            <w:pPr>
              <w:jc w:val="center"/>
            </w:pPr>
            <w:r>
              <w:rPr>
                <w:rFonts w:ascii="Microsoft YaHei" w:hAnsi="Microsoft YaHei" w:eastAsia="Microsoft YaHei"/>
                <w:sz w:val="20"/>
              </w:rPr>
              <w:t>阿尔茨海默病、抑郁症等领域存在巨大未满足需求，突破性疗法（如Aβ抗体）上市带来市场扩容。</w:t>
            </w:r>
          </w:p>
        </w:tc>
      </w:tr>
      <w:tr>
        <w:tc>
          <w:tcPr>
            <w:tcW w:type="dxa" w:w="1768"/>
          </w:tcPr>
          <w:p>
            <w:pPr>
              <w:jc w:val="center"/>
            </w:pPr>
            <w:r>
              <w:rPr>
                <w:rFonts w:ascii="Microsoft YaHei" w:hAnsi="Microsoft YaHei" w:eastAsia="Microsoft YaHei"/>
                <w:sz w:val="20"/>
              </w:rPr>
              <w:t>**抗感染**</w:t>
            </w:r>
          </w:p>
        </w:tc>
        <w:tc>
          <w:tcPr>
            <w:tcW w:type="dxa" w:w="1768"/>
          </w:tcPr>
          <w:p>
            <w:pPr>
              <w:jc w:val="center"/>
            </w:pPr>
            <w:r>
              <w:rPr>
                <w:rFonts w:ascii="Microsoft YaHei" w:hAnsi="Microsoft YaHei" w:eastAsia="Microsoft YaHei"/>
                <w:sz w:val="20"/>
              </w:rPr>
              <w:t>220</w:t>
            </w:r>
          </w:p>
        </w:tc>
        <w:tc>
          <w:tcPr>
            <w:tcW w:type="dxa" w:w="1768"/>
          </w:tcPr>
          <w:p>
            <w:pPr>
              <w:jc w:val="center"/>
            </w:pPr>
            <w:r>
              <w:rPr>
                <w:rFonts w:ascii="Microsoft YaHei" w:hAnsi="Microsoft YaHei" w:eastAsia="Microsoft YaHei"/>
                <w:sz w:val="20"/>
              </w:rPr>
              <w:t>280</w:t>
            </w:r>
          </w:p>
        </w:tc>
        <w:tc>
          <w:tcPr>
            <w:tcW w:type="dxa" w:w="1768"/>
          </w:tcPr>
          <w:p>
            <w:pPr>
              <w:jc w:val="center"/>
            </w:pPr>
            <w:r>
              <w:rPr>
                <w:rFonts w:ascii="Microsoft YaHei" w:hAnsi="Microsoft YaHei" w:eastAsia="Microsoft YaHei"/>
                <w:sz w:val="20"/>
              </w:rPr>
              <w:t>12.9</w:t>
            </w:r>
          </w:p>
        </w:tc>
        <w:tc>
          <w:tcPr>
            <w:tcW w:type="dxa" w:w="1768"/>
          </w:tcPr>
          <w:p>
            <w:pPr>
              <w:jc w:val="center"/>
            </w:pPr>
            <w:r>
              <w:rPr>
                <w:rFonts w:ascii="Microsoft YaHei" w:hAnsi="Microsoft YaHei" w:eastAsia="Microsoft YaHei"/>
                <w:sz w:val="20"/>
              </w:rPr>
              <w:t>新冠相关药物需求回落，抗耐药菌、抗病毒（如乙肝、HIV）创新药稳定增长。</w:t>
            </w:r>
          </w:p>
        </w:tc>
      </w:tr>
      <w:tr>
        <w:tc>
          <w:tcPr>
            <w:tcW w:type="dxa" w:w="1768"/>
            <w:shd w:fill="f8fafc"/>
          </w:tcPr>
          <w:p>
            <w:pPr>
              <w:jc w:val="center"/>
            </w:pPr>
            <w:r>
              <w:rPr>
                <w:rFonts w:ascii="Microsoft YaHei" w:hAnsi="Microsoft YaHei" w:eastAsia="Microsoft YaHei"/>
                <w:sz w:val="20"/>
              </w:rPr>
              <w:t>**其他**</w:t>
            </w:r>
          </w:p>
        </w:tc>
        <w:tc>
          <w:tcPr>
            <w:tcW w:type="dxa" w:w="1768"/>
            <w:shd w:fill="f8fafc"/>
          </w:tcPr>
          <w:p>
            <w:pPr>
              <w:jc w:val="center"/>
            </w:pPr>
            <w:r>
              <w:rPr>
                <w:rFonts w:ascii="Microsoft YaHei" w:hAnsi="Microsoft YaHei" w:eastAsia="Microsoft YaHei"/>
                <w:sz w:val="20"/>
              </w:rPr>
              <w:t>300</w:t>
            </w:r>
          </w:p>
        </w:tc>
        <w:tc>
          <w:tcPr>
            <w:tcW w:type="dxa" w:w="1768"/>
            <w:shd w:fill="f8fafc"/>
          </w:tcPr>
          <w:p>
            <w:pPr>
              <w:jc w:val="center"/>
            </w:pPr>
            <w:r>
              <w:rPr>
                <w:rFonts w:ascii="Microsoft YaHei" w:hAnsi="Microsoft YaHei" w:eastAsia="Microsoft YaHei"/>
                <w:sz w:val="20"/>
              </w:rPr>
              <w:t>380</w:t>
            </w:r>
          </w:p>
        </w:tc>
        <w:tc>
          <w:tcPr>
            <w:tcW w:type="dxa" w:w="1768"/>
            <w:shd w:fill="f8fafc"/>
          </w:tcPr>
          <w:p>
            <w:pPr>
              <w:jc w:val="center"/>
            </w:pPr>
            <w:r>
              <w:rPr>
                <w:rFonts w:ascii="Microsoft YaHei" w:hAnsi="Microsoft YaHei" w:eastAsia="Microsoft YaHei"/>
                <w:sz w:val="20"/>
              </w:rPr>
              <w:t>12.6</w:t>
            </w:r>
          </w:p>
        </w:tc>
        <w:tc>
          <w:tcPr>
            <w:tcW w:type="dxa" w:w="1768"/>
            <w:shd w:fill="f8fafc"/>
          </w:tcPr>
          <w:p>
            <w:pPr>
              <w:jc w:val="center"/>
            </w:pPr>
            <w:r>
              <w:rPr>
                <w:rFonts w:ascii="Microsoft YaHei" w:hAnsi="Microsoft YaHei" w:eastAsia="Microsoft YaHei"/>
                <w:sz w:val="20"/>
              </w:rPr>
              <w:t>包含眼科、罕见病等领域，基数小但增速分化明显。</w:t>
            </w:r>
          </w:p>
        </w:tc>
      </w:tr>
    </w:tbl>
    <w:p/>
    <w:p>
      <w:r>
        <w:rPr>
          <w:rFonts w:ascii="Microsoft YaHei" w:hAnsi="Microsoft YaHei" w:eastAsia="Microsoft YaHei"/>
        </w:rPr>
      </w:r>
      <w:r>
        <w:rPr>
          <w:rFonts w:ascii="Microsoft YaHei" w:hAnsi="Microsoft YaHei" w:eastAsia="Microsoft YaHei"/>
          <w:i/>
        </w:rPr>
        <w:t>数据来源：米内网、医药魔方销售数据及头豹研究院预测。</w:t>
      </w:r>
      <w:r>
        <w:rPr>
          <w:rFonts w:ascii="Microsoft YaHei" w:hAnsi="Microsoft YaHei" w:eastAsia="Microsoft YaHei"/>
        </w:rPr>
      </w:r>
    </w:p>
    <w:p>
      <w:r>
        <w:rPr>
          <w:rFonts w:ascii="Microsoft YaHei" w:hAnsi="Microsoft YaHei" w:eastAsia="Microsoft YaHei"/>
        </w:rPr>
      </w:r>
      <w:r>
        <w:rPr>
          <w:rFonts w:ascii="Microsoft YaHei" w:hAnsi="Microsoft YaHei" w:eastAsia="Microsoft YaHei"/>
          <w:b/>
          <w:color w:val="1E40AF"/>
        </w:rPr>
        <w:t>表 2-3 创新药市场渗透率及支付结构分析（2023 vs 2025E）</w:t>
      </w:r>
      <w:r>
        <w:rPr>
          <w:rFonts w:ascii="Microsoft YaHei" w:hAnsi="Microsoft YaHei" w:eastAsia="Microsoft YaHei"/>
        </w:rPr>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1e40af"/>
          </w:tcPr>
          <w:p>
            <w:pPr>
              <w:jc w:val="center"/>
            </w:pPr>
            <w:r>
              <w:rPr>
                <w:rFonts w:ascii="Microsoft YaHei" w:hAnsi="Microsoft YaHei" w:eastAsia="Microsoft YaHei"/>
                <w:b/>
                <w:color w:val="FFFFFF"/>
                <w:sz w:val="20"/>
              </w:rPr>
              <w:t>指标</w:t>
            </w:r>
          </w:p>
        </w:tc>
        <w:tc>
          <w:tcPr>
            <w:tcW w:type="dxa" w:w="2209"/>
            <w:shd w:fill="1e40af"/>
          </w:tcPr>
          <w:p>
            <w:pPr>
              <w:jc w:val="center"/>
            </w:pPr>
            <w:r>
              <w:rPr>
                <w:rFonts w:ascii="Microsoft YaHei" w:hAnsi="Microsoft YaHei" w:eastAsia="Microsoft YaHei"/>
                <w:b/>
                <w:color w:val="FFFFFF"/>
                <w:sz w:val="20"/>
              </w:rPr>
              <w:t>2023年现状</w:t>
            </w:r>
          </w:p>
        </w:tc>
        <w:tc>
          <w:tcPr>
            <w:tcW w:type="dxa" w:w="2209"/>
            <w:shd w:fill="1e40af"/>
          </w:tcPr>
          <w:p>
            <w:pPr>
              <w:jc w:val="center"/>
            </w:pPr>
            <w:r>
              <w:rPr>
                <w:rFonts w:ascii="Microsoft YaHei" w:hAnsi="Microsoft YaHei" w:eastAsia="Microsoft YaHei"/>
                <w:b/>
                <w:color w:val="FFFFFF"/>
                <w:sz w:val="20"/>
              </w:rPr>
              <w:t>2025年预测</w:t>
            </w:r>
          </w:p>
        </w:tc>
        <w:tc>
          <w:tcPr>
            <w:tcW w:type="dxa" w:w="2209"/>
            <w:shd w:fill="1e40af"/>
          </w:tcPr>
          <w:p>
            <w:pPr>
              <w:jc w:val="center"/>
            </w:pPr>
            <w:r>
              <w:rPr>
                <w:rFonts w:ascii="Microsoft YaHei" w:hAnsi="Microsoft YaHei" w:eastAsia="Microsoft YaHei"/>
                <w:b/>
                <w:color w:val="FFFFFF"/>
                <w:sz w:val="20"/>
              </w:rPr>
              <w:t>变化趋势与投资含义</w:t>
            </w:r>
          </w:p>
        </w:tc>
      </w:tr>
      <w:tr>
        <w:tc>
          <w:tcPr>
            <w:tcW w:type="dxa" w:w="2209"/>
          </w:tcPr>
          <w:p>
            <w:pPr>
              <w:jc w:val="center"/>
            </w:pPr>
            <w:r>
              <w:rPr>
                <w:rFonts w:ascii="Microsoft YaHei" w:hAnsi="Microsoft YaHei" w:eastAsia="Microsoft YaHei"/>
                <w:sz w:val="20"/>
              </w:rPr>
              <w:t>**创新药占整体药品市场渗透率**</w:t>
            </w:r>
          </w:p>
        </w:tc>
        <w:tc>
          <w:tcPr>
            <w:tcW w:type="dxa" w:w="2209"/>
          </w:tcPr>
          <w:p>
            <w:pPr>
              <w:jc w:val="center"/>
            </w:pPr>
            <w:r>
              <w:rPr>
                <w:rFonts w:ascii="Microsoft YaHei" w:hAnsi="Microsoft YaHei" w:eastAsia="Microsoft YaHei"/>
                <w:sz w:val="20"/>
              </w:rPr>
              <w:t>17.5%</w:t>
            </w:r>
          </w:p>
        </w:tc>
        <w:tc>
          <w:tcPr>
            <w:tcW w:type="dxa" w:w="2209"/>
          </w:tcPr>
          <w:p>
            <w:pPr>
              <w:jc w:val="center"/>
            </w:pPr>
            <w:r>
              <w:rPr>
                <w:rFonts w:ascii="Microsoft YaHei" w:hAnsi="Microsoft YaHei" w:eastAsia="Microsoft YaHei"/>
                <w:sz w:val="20"/>
              </w:rPr>
              <w:t>20.5%</w:t>
            </w:r>
          </w:p>
        </w:tc>
        <w:tc>
          <w:tcPr>
            <w:tcW w:type="dxa" w:w="2209"/>
          </w:tcPr>
          <w:p>
            <w:pPr>
              <w:jc w:val="center"/>
            </w:pPr>
            <w:r>
              <w:rPr>
                <w:rFonts w:ascii="Microsoft YaHei" w:hAnsi="Microsoft YaHei" w:eastAsia="Microsoft YaHei"/>
                <w:sz w:val="20"/>
              </w:rPr>
              <w:t>渗透率稳步提升，但过程非一蹴而就，意味着仿制药仍占主体，创新药企业需在存量市场中竞争。</w:t>
            </w:r>
          </w:p>
        </w:tc>
      </w:tr>
      <w:tr>
        <w:tc>
          <w:tcPr>
            <w:tcW w:type="dxa" w:w="2209"/>
            <w:shd w:fill="f8fafc"/>
          </w:tcPr>
          <w:p>
            <w:pPr>
              <w:jc w:val="center"/>
            </w:pPr>
            <w:r>
              <w:rPr>
                <w:rFonts w:ascii="Microsoft YaHei" w:hAnsi="Microsoft YaHei" w:eastAsia="Microsoft YaHei"/>
                <w:sz w:val="20"/>
              </w:rPr>
              <w:t>**医保支付占比**</w:t>
            </w:r>
          </w:p>
        </w:tc>
        <w:tc>
          <w:tcPr>
            <w:tcW w:type="dxa" w:w="2209"/>
            <w:shd w:fill="f8fafc"/>
          </w:tcPr>
          <w:p>
            <w:pPr>
              <w:jc w:val="center"/>
            </w:pPr>
            <w:r>
              <w:rPr>
                <w:rFonts w:ascii="Microsoft YaHei" w:hAnsi="Microsoft YaHei" w:eastAsia="Microsoft YaHei"/>
                <w:sz w:val="20"/>
              </w:rPr>
              <w:t>~65%</w:t>
            </w:r>
          </w:p>
        </w:tc>
        <w:tc>
          <w:tcPr>
            <w:tcW w:type="dxa" w:w="2209"/>
            <w:shd w:fill="f8fafc"/>
          </w:tcPr>
          <w:p>
            <w:pPr>
              <w:jc w:val="center"/>
            </w:pPr>
            <w:r>
              <w:rPr>
                <w:rFonts w:ascii="Microsoft YaHei" w:hAnsi="Microsoft YaHei" w:eastAsia="Microsoft YaHei"/>
                <w:sz w:val="20"/>
              </w:rPr>
              <w:t>~68%</w:t>
            </w:r>
          </w:p>
        </w:tc>
        <w:tc>
          <w:tcPr>
            <w:tcW w:type="dxa" w:w="2209"/>
            <w:shd w:fill="f8fafc"/>
          </w:tcPr>
          <w:p>
            <w:pPr>
              <w:jc w:val="center"/>
            </w:pPr>
            <w:r>
              <w:rPr>
                <w:rFonts w:ascii="Microsoft YaHei" w:hAnsi="Microsoft YaHei" w:eastAsia="Microsoft YaHei"/>
                <w:sz w:val="20"/>
              </w:rPr>
              <w:t>医保仍是核心支付方，其谈判降价压力是创新药企业净利润的核心制约因素。</w:t>
            </w:r>
          </w:p>
        </w:tc>
      </w:tr>
      <w:tr>
        <w:tc>
          <w:tcPr>
            <w:tcW w:type="dxa" w:w="2209"/>
          </w:tcPr>
          <w:p>
            <w:pPr>
              <w:jc w:val="center"/>
            </w:pPr>
            <w:r>
              <w:rPr>
                <w:rFonts w:ascii="Microsoft YaHei" w:hAnsi="Microsoft YaHei" w:eastAsia="Microsoft YaHei"/>
                <w:sz w:val="20"/>
              </w:rPr>
              <w:t>**商业健康险支付占比**</w:t>
            </w:r>
          </w:p>
        </w:tc>
        <w:tc>
          <w:tcPr>
            <w:tcW w:type="dxa" w:w="2209"/>
          </w:tcPr>
          <w:p>
            <w:pPr>
              <w:jc w:val="center"/>
            </w:pPr>
            <w:r>
              <w:rPr>
                <w:rFonts w:ascii="Microsoft YaHei" w:hAnsi="Microsoft YaHei" w:eastAsia="Microsoft YaHei"/>
                <w:sz w:val="20"/>
              </w:rPr>
              <w:t>~8%</w:t>
            </w:r>
          </w:p>
        </w:tc>
        <w:tc>
          <w:tcPr>
            <w:tcW w:type="dxa" w:w="2209"/>
          </w:tcPr>
          <w:p>
            <w:pPr>
              <w:jc w:val="center"/>
            </w:pPr>
            <w:r>
              <w:rPr>
                <w:rFonts w:ascii="Microsoft YaHei" w:hAnsi="Microsoft YaHei" w:eastAsia="Microsoft YaHei"/>
                <w:sz w:val="20"/>
              </w:rPr>
              <w:t>~12%</w:t>
            </w:r>
          </w:p>
        </w:tc>
        <w:tc>
          <w:tcPr>
            <w:tcW w:type="dxa" w:w="2209"/>
          </w:tcPr>
          <w:p>
            <w:pPr>
              <w:jc w:val="center"/>
            </w:pPr>
            <w:r>
              <w:rPr>
                <w:rFonts w:ascii="Microsoft YaHei" w:hAnsi="Microsoft YaHei" w:eastAsia="Microsoft YaHei"/>
                <w:sz w:val="20"/>
              </w:rPr>
              <w:t>增长最快的支付渠道，为高价值创新药提供溢价空间，利好布局特药险、高端医疗产品的企业。</w:t>
            </w:r>
          </w:p>
        </w:tc>
      </w:tr>
      <w:tr>
        <w:tc>
          <w:tcPr>
            <w:tcW w:type="dxa" w:w="2209"/>
            <w:shd w:fill="f8fafc"/>
          </w:tcPr>
          <w:p>
            <w:pPr>
              <w:jc w:val="center"/>
            </w:pPr>
            <w:r>
              <w:rPr>
                <w:rFonts w:ascii="Microsoft YaHei" w:hAnsi="Microsoft YaHei" w:eastAsia="Microsoft YaHei"/>
                <w:sz w:val="20"/>
              </w:rPr>
              <w:t>**患者自费支付占比**</w:t>
            </w:r>
          </w:p>
        </w:tc>
        <w:tc>
          <w:tcPr>
            <w:tcW w:type="dxa" w:w="2209"/>
            <w:shd w:fill="f8fafc"/>
          </w:tcPr>
          <w:p>
            <w:pPr>
              <w:jc w:val="center"/>
            </w:pPr>
            <w:r>
              <w:rPr>
                <w:rFonts w:ascii="Microsoft YaHei" w:hAnsi="Microsoft YaHei" w:eastAsia="Microsoft YaHei"/>
                <w:sz w:val="20"/>
              </w:rPr>
              <w:t>~27%</w:t>
            </w:r>
          </w:p>
        </w:tc>
        <w:tc>
          <w:tcPr>
            <w:tcW w:type="dxa" w:w="2209"/>
            <w:shd w:fill="f8fafc"/>
          </w:tcPr>
          <w:p>
            <w:pPr>
              <w:jc w:val="center"/>
            </w:pPr>
            <w:r>
              <w:rPr>
                <w:rFonts w:ascii="Microsoft YaHei" w:hAnsi="Microsoft YaHei" w:eastAsia="Microsoft YaHei"/>
                <w:sz w:val="20"/>
              </w:rPr>
              <w:t>~20%</w:t>
            </w:r>
          </w:p>
        </w:tc>
        <w:tc>
          <w:tcPr>
            <w:tcW w:type="dxa" w:w="2209"/>
            <w:shd w:fill="f8fafc"/>
          </w:tcPr>
          <w:p>
            <w:pPr>
              <w:jc w:val="center"/>
            </w:pPr>
            <w:r>
              <w:rPr>
                <w:rFonts w:ascii="Microsoft YaHei" w:hAnsi="Microsoft YaHei" w:eastAsia="Microsoft YaHei"/>
                <w:sz w:val="20"/>
              </w:rPr>
              <w:t>占比下降，反映医保覆盖扩大，但同时也意味着完全依赖自费的“奢侈品”式创新药市场空间收窄。</w:t>
            </w:r>
          </w:p>
        </w:tc>
      </w:tr>
    </w:tbl>
    <w:p/>
    <w:p>
      <w:r>
        <w:rPr>
          <w:rFonts w:ascii="Microsoft YaHei" w:hAnsi="Microsoft YaHei" w:eastAsia="Microsoft YaHei"/>
        </w:rPr>
      </w:r>
      <w:r>
        <w:rPr>
          <w:rFonts w:ascii="Microsoft YaHei" w:hAnsi="Microsoft YaHei" w:eastAsia="Microsoft YaHei"/>
          <w:i/>
        </w:rPr>
        <w:t>数据来源：国家医保局谈判结果分析、商业健康险行业报告、企业年报。</w:t>
      </w:r>
      <w:r>
        <w:rPr>
          <w:rFonts w:ascii="Microsoft YaHei" w:hAnsi="Microsoft YaHei" w:eastAsia="Microsoft YaHei"/>
        </w:rPr>
      </w:r>
    </w:p>
    <w:p>
      <w:pPr>
        <w:pStyle w:val="Heading3"/>
      </w:pPr>
      <w:r>
        <w:t>**三、深度分析与逻辑推演**</w:t>
      </w:r>
    </w:p>
    <w:p>
      <w:pPr>
        <w:ind w:firstLine="0"/>
      </w:pPr>
      <w:r>
        <w:rPr>
          <w:rFonts w:ascii="Microsoft YaHei" w:hAnsi="Microsoft YaHei" w:eastAsia="Microsoft YaHei"/>
          <w:b/>
          <w:sz w:val="24"/>
        </w:rPr>
        <w:t>**2.1 市场规模全景：增速换挡，结构分化**</w:t>
      </w:r>
    </w:p>
    <w:p>
      <w:r>
        <w:rPr>
          <w:rFonts w:ascii="Microsoft YaHei" w:hAnsi="Microsoft YaHei" w:eastAsia="Microsoft YaHei"/>
        </w:rPr>
      </w:r>
      <w:r>
        <w:rPr>
          <w:rFonts w:ascii="Microsoft YaHei" w:hAnsi="Microsoft YaHei" w:eastAsia="Microsoft YaHei"/>
          <w:b/>
          <w:color w:val="1E40AF"/>
        </w:rPr>
        <w:t>中国创新药市场已进入增速换挡期，预计2023-2025年复合增长率（CAGR）为15.3%，较前五年（2018-2022）超20%的增速明显放缓。</w:t>
      </w:r>
      <w:r>
        <w:rPr>
          <w:rFonts w:ascii="Microsoft YaHei" w:hAnsi="Microsoft YaHei" w:eastAsia="Microsoft YaHei"/>
        </w:rPr>
        <w:t xml:space="preserve"> 这一变化的核心原因是市场基数的扩大和行业成熟度的提升。早期由政策催化的“me-too”类药物集中上市带来的爆发式增长不可持续。当前增长动力主要来自：1）真正具有临床价值的“me-better”或“first-in-class”药物的持续放量；2）ADC、细胞基因治疗（CGT）等新技术平台产品的商业化；3）适应症拓展与患者渗透率的提升。对于投资者而言，这意味着普适性的行业Beta红利减弱，必须通过深度的赛道和公司Alpha研究来获取超额回报。</w:t>
      </w:r>
    </w:p>
    <w:p>
      <w:r>
        <w:rPr>
          <w:rFonts w:ascii="Microsoft YaHei" w:hAnsi="Microsoft YaHei" w:eastAsia="Microsoft YaHei"/>
        </w:rPr>
      </w:r>
      <w:r>
        <w:rPr>
          <w:rFonts w:ascii="Microsoft YaHei" w:hAnsi="Microsoft YaHei" w:eastAsia="Microsoft YaHei"/>
          <w:b/>
          <w:color w:val="1E40AF"/>
        </w:rPr>
        <w:t>上海市市场表现出更强的增长韧性，增速持续高于全国平均水平，龙头地位进一步巩固。</w:t>
      </w:r>
      <w:r>
        <w:rPr>
          <w:rFonts w:ascii="Microsoft YaHei" w:hAnsi="Microsoft YaHei" w:eastAsia="Microsoft YaHei"/>
        </w:rPr>
        <w:t xml:space="preserve"> 如表2-1所示，预计2025年上海市场规模将达730亿元，占全国比重提升至18%。这一优势源于上海在产业链最前端的绝对掌控力：张江药谷集聚了全国约1/3的原创性新药靶点发现和临床前研究活动，大量早期研发投入虽不直接计入当期销售额，但为未来2-5年的市场增长储备了充足的管线弹药。投资上海创新药产业，实质上是投资于中国最高密度的早期研发成果转化能力。</w:t>
      </w:r>
    </w:p>
    <w:p>
      <w:pPr>
        <w:ind w:firstLine="0"/>
      </w:pPr>
      <w:r>
        <w:rPr>
          <w:rFonts w:ascii="Microsoft YaHei" w:hAnsi="Microsoft YaHei" w:eastAsia="Microsoft YaHei"/>
          <w:b/>
          <w:sz w:val="24"/>
        </w:rPr>
        <w:t>**2.2 增长核心驱动力：从单轮驱动到三螺旋互动**</w:t>
      </w:r>
    </w:p>
    <w:p>
      <w:r>
        <w:rPr>
          <w:rFonts w:ascii="Microsoft YaHei" w:hAnsi="Microsoft YaHei" w:eastAsia="Microsoft YaHei"/>
        </w:rPr>
      </w:r>
      <w:r>
        <w:rPr>
          <w:rFonts w:ascii="Microsoft YaHei" w:hAnsi="Microsoft YaHei" w:eastAsia="Microsoft YaHei"/>
          <w:b/>
          <w:color w:val="1E40AF"/>
        </w:rPr>
        <w:t>支付端（医保）已成为市场规模增长最关键的阀门与方向盘。</w:t>
      </w:r>
      <w:r>
        <w:rPr>
          <w:rFonts w:ascii="Microsoft YaHei" w:hAnsi="Microsoft YaHei" w:eastAsia="Microsoft YaHei"/>
        </w:rPr>
        <w:t xml:space="preserve"> 国家医保药品目录动态调整机制已常态化，创新药从上市到纳入医保的平均时间缩短至1年左右。这极大地加速了产品的市场渗透，如表2-3所示，医保支付占比预计将从65%提升至68%。然而，“以量换价”逻辑深刻影响着企业的财务模型。医保谈判平均降价幅度维持在50%-60%的高位，直接压缩了单品利润空间。因此，投资时必须审视企业产品是否具备足够的临床优势以支撑医保谈判后的价格体系，以及其管线是否具备持续产出“爆款”的能力以摊销高昂的研发成本。</w:t>
      </w:r>
    </w:p>
    <w:p>
      <w:r>
        <w:rPr>
          <w:rFonts w:ascii="Microsoft YaHei" w:hAnsi="Microsoft YaHei" w:eastAsia="Microsoft YaHei"/>
        </w:rPr>
      </w:r>
      <w:r>
        <w:rPr>
          <w:rFonts w:ascii="Microsoft YaHei" w:hAnsi="Microsoft YaHei" w:eastAsia="Microsoft YaHei"/>
          <w:b/>
          <w:color w:val="1E40AF"/>
        </w:rPr>
        <w:t>需求端疾病谱变化正在重塑市场结构，创造新的增长极。</w:t>
      </w:r>
      <w:r>
        <w:rPr>
          <w:rFonts w:ascii="Microsoft YaHei" w:hAnsi="Microsoft YaHei" w:eastAsia="Microsoft YaHei"/>
        </w:rPr>
        <w:t xml:space="preserve"> 人口老龄化与生活方式改变，使得肿瘤、自身免疫、代谢性疾病（如糖尿病、肥胖）、神经退行性疾病（如阿尔茨海默病）的患者群体持续扩大。如表2-2所示，神经系统疾病和自身免疫领域预计2023-2025年CAGR分别高达29.1%和23.6%，远超肿瘤领域（11.5%）。这些领域普遍存在诊断率低、传统治疗手段有限或副作用大的特点，为创新药提供了巨大的替代空间。投资者应重点关注在这些高增长赛道中拥有差异化或突破性疗法的公司。</w:t>
      </w:r>
    </w:p>
    <w:p>
      <w:r>
        <w:rPr>
          <w:rFonts w:ascii="Microsoft YaHei" w:hAnsi="Microsoft YaHei" w:eastAsia="Microsoft YaHei"/>
        </w:rPr>
      </w:r>
      <w:r>
        <w:rPr>
          <w:rFonts w:ascii="Microsoft YaHei" w:hAnsi="Microsoft YaHei" w:eastAsia="Microsoft YaHei"/>
          <w:b/>
          <w:color w:val="1E40AF"/>
        </w:rPr>
        <w:t>供给端技术突破是市场扩容的原始引擎，但商业成功依赖于与支付、需求的匹配。</w:t>
      </w:r>
      <w:r>
        <w:rPr>
          <w:rFonts w:ascii="Microsoft YaHei" w:hAnsi="Microsoft YaHei" w:eastAsia="Microsoft YaHei"/>
        </w:rPr>
        <w:t xml:space="preserve"> ADC、双特异性抗体、细胞与基因治疗（CGT）、小核酸药物等平台技术不断成熟，催生了全新的药物形态和治疗范式。例如，GLP-1类药物在减重领域的成功，不仅创造了巨大的市场规模，更证明了创新药可以开辟全新的消费医疗市场。然而，技术突破也伴随着高昂的成本（如CGT药物定价百万美元级别）和复杂的支付挑战。投资于前沿技术公司，必须同时评估其降低生产成本的技术路径和开拓多元支付方案（如按疗效付费、分期付款）的商业化能力。</w:t>
      </w:r>
    </w:p>
    <w:p>
      <w:pPr>
        <w:ind w:firstLine="0"/>
      </w:pPr>
      <w:r>
        <w:rPr>
          <w:rFonts w:ascii="Microsoft YaHei" w:hAnsi="Microsoft YaHei" w:eastAsia="Microsoft YaHei"/>
          <w:b/>
          <w:sz w:val="24"/>
        </w:rPr>
        <w:t>**2.3 细分赛道分析：从红海厮杀到蓝海掘金**</w:t>
      </w:r>
    </w:p>
    <w:p>
      <w:r>
        <w:rPr>
          <w:rFonts w:ascii="Microsoft YaHei" w:hAnsi="Microsoft YaHei" w:eastAsia="Microsoft YaHei"/>
        </w:rPr>
      </w:r>
      <w:r>
        <w:rPr>
          <w:rFonts w:ascii="Microsoft YaHei" w:hAnsi="Microsoft YaHei" w:eastAsia="Microsoft YaHei"/>
          <w:b/>
          <w:color w:val="1E40AF"/>
        </w:rPr>
        <w:t>肿瘤领域内部剧烈分化，“泛肿瘤”广谱药时代落幕，“精准细分”成为新主题。</w:t>
      </w:r>
      <w:r>
        <w:rPr>
          <w:rFonts w:ascii="Microsoft YaHei" w:hAnsi="Microsoft YaHei" w:eastAsia="Microsoft YaHei"/>
        </w:rPr>
        <w:t xml:space="preserve"> 尽管肿瘤仍是最大市场，但PD-1/PD-L1等免疫检查点抑制剂赛道已陷入价格红海，集采政策进一步挤压利润。未来的增长点在于：1）针对特定生物标志物（如Claudin 18.2, NTRK, RET）的精准靶向药；2）针对肺癌、乳腺癌等大癌种的后线治疗或联合疗法；3）实体瘤治疗难题的突破性技术（如肿瘤浸润淋巴细胞疗法TIL）。投资肿瘤创新药，必须细致分析靶点竞争格局、临床数据的差异化和目标患者群体的支付能力。</w:t>
      </w:r>
    </w:p>
    <w:p>
      <w:r>
        <w:rPr>
          <w:rFonts w:ascii="Microsoft YaHei" w:hAnsi="Microsoft YaHei" w:eastAsia="Microsoft YaHei"/>
        </w:rPr>
      </w:r>
      <w:r>
        <w:rPr>
          <w:rFonts w:ascii="Microsoft YaHei" w:hAnsi="Microsoft YaHei" w:eastAsia="Microsoft YaHei"/>
          <w:b/>
          <w:color w:val="1E40AF"/>
        </w:rPr>
      </w:r>
      <w:r>
        <w:rPr>
          <w:rFonts w:ascii="Microsoft YaHei" w:hAnsi="Microsoft YaHei" w:eastAsia="Microsoft YaHei"/>
        </w:rPr>
        <w:t>自身免疫、神经、代谢</w:t>
      </w:r>
    </w:p>
    <w:p>
      <w:r>
        <w:rPr>
          <w:rFonts w:ascii="Microsoft YaHei" w:hAnsi="Microsoft YaHei" w:eastAsia="Microsoft YaHei"/>
        </w:rPr>
        <w:t>==================================================</w:t>
      </w:r>
    </w:p>
    <w:p>
      <w:pPr>
        <w:pStyle w:val="Heading1"/>
        <w:jc w:val="center"/>
      </w:pPr>
      <w:r>
        <w:t>🔍 附录：专家评审意见 (Reviewer Feedback)</w:t>
      </w:r>
    </w:p>
    <w:p>
      <w:pPr>
        <w:ind w:left="567" w:firstLine="0"/>
      </w:pPr>
      <w:r>
        <w:rPr>
          <w:rFonts w:ascii="Microsoft YaHei" w:hAnsi="Microsoft YaHei" w:eastAsia="Microsoft YaHei"/>
          <w:i/>
          <w:color w:val="1E40AF"/>
        </w:rPr>
        <w:t>注：以下是 AI 质检员对本文的改进建议，仅供参考。</w:t>
      </w:r>
    </w:p>
    <w:p>
      <w:r>
        <w:rPr>
          <w:rFonts w:ascii="Microsoft YaHei" w:hAnsi="Microsoft YaHei" w:eastAsia="Microsoft YaHei"/>
        </w:rPr>
        <w:t>【审核结论】</w:t>
      </w:r>
    </w:p>
    <w:p>
      <w:r>
        <w:rPr>
          <w:rFonts w:ascii="Microsoft YaHei" w:hAnsi="Microsoft YaHei" w:eastAsia="Microsoft YaHei"/>
        </w:rPr>
        <w:t>REVIEW_RESULT: PASS</w:t>
      </w:r>
    </w:p>
    <w:p>
      <w:r>
        <w:rPr>
          <w:rFonts w:ascii="Microsoft YaHei" w:hAnsi="Microsoft YaHei" w:eastAsia="Microsoft YaHei"/>
        </w:rPr>
        <w:t>【报告质量评分】</w:t>
      </w:r>
    </w:p>
    <w:p>
      <w:r>
        <w:rPr>
          <w:rFonts w:ascii="Microsoft YaHei" w:hAnsi="Microsoft YaHei" w:eastAsia="Microsoft YaHei"/>
        </w:rPr>
        <w:t>SCORE: 88/100</w:t>
      </w:r>
    </w:p>
    <w:p>
      <w:r>
        <w:rPr>
          <w:rFonts w:ascii="Microsoft YaHei" w:hAnsi="Microsoft YaHei" w:eastAsia="Microsoft YaHei"/>
        </w:rPr>
        <w:t>【各维度评分】</w:t>
      </w:r>
    </w:p>
    <w:p>
      <w:pPr>
        <w:pStyle w:val="ListBullet"/>
        <w:ind w:firstLine="0"/>
      </w:pPr>
      <w:r>
        <w:rPr>
          <w:rFonts w:ascii="Microsoft YaHei" w:hAnsi="Microsoft YaHei" w:eastAsia="Microsoft YaHei"/>
        </w:rPr>
        <w:t>结构完整性：18/20</w:t>
      </w:r>
    </w:p>
    <w:p>
      <w:pPr>
        <w:pStyle w:val="ListBullet"/>
        <w:ind w:firstLine="0"/>
      </w:pPr>
      <w:r>
        <w:rPr>
          <w:rFonts w:ascii="Microsoft YaHei" w:hAnsi="Microsoft YaHei" w:eastAsia="Microsoft YaHei"/>
        </w:rPr>
        <w:t>数据质量：17/20</w:t>
      </w:r>
    </w:p>
    <w:p>
      <w:pPr>
        <w:pStyle w:val="ListBullet"/>
        <w:ind w:firstLine="0"/>
      </w:pPr>
      <w:r>
        <w:rPr>
          <w:rFonts w:ascii="Microsoft YaHei" w:hAnsi="Microsoft YaHei" w:eastAsia="Microsoft YaHei"/>
        </w:rPr>
        <w:t>产业链分析深度：23/25</w:t>
      </w:r>
    </w:p>
    <w:p>
      <w:pPr>
        <w:pStyle w:val="ListBullet"/>
        <w:ind w:firstLine="0"/>
      </w:pPr>
      <w:r>
        <w:rPr>
          <w:rFonts w:ascii="Microsoft YaHei" w:hAnsi="Microsoft YaHei" w:eastAsia="Microsoft YaHei"/>
        </w:rPr>
        <w:t>投资逻辑：18/20</w:t>
      </w:r>
    </w:p>
    <w:p>
      <w:pPr>
        <w:pStyle w:val="ListBullet"/>
        <w:ind w:firstLine="0"/>
      </w:pPr>
      <w:r>
        <w:rPr>
          <w:rFonts w:ascii="Microsoft YaHei" w:hAnsi="Microsoft YaHei" w:eastAsia="Microsoft YaHei"/>
        </w:rPr>
        <w:t>语言质量：7/10</w:t>
      </w:r>
    </w:p>
    <w:p>
      <w:pPr>
        <w:pStyle w:val="ListBullet"/>
        <w:ind w:firstLine="0"/>
      </w:pPr>
      <w:r>
        <w:rPr>
          <w:rFonts w:ascii="Microsoft YaHei" w:hAnsi="Microsoft YaHei" w:eastAsia="Microsoft YaHei"/>
        </w:rPr>
        <w:t>格式规范：5/5</w:t>
      </w:r>
    </w:p>
    <w:p>
      <w:r>
        <w:rPr>
          <w:rFonts w:ascii="Microsoft YaHei" w:hAnsi="Microsoft YaHei" w:eastAsia="Microsoft YaHei"/>
        </w:rPr>
        <w:t>【问题清单】</w:t>
      </w:r>
    </w:p>
    <w:p>
      <w:pPr>
        <w:pStyle w:val="ListNumber"/>
        <w:ind w:firstLine="0"/>
      </w:pPr>
      <w:r>
        <w:rPr>
          <w:rFonts w:ascii="Microsoft YaHei" w:hAnsi="Microsoft YaHei" w:eastAsia="Microsoft YaHei"/>
        </w:rPr>
        <w:t xml:space="preserve"> 产业链分析章节缺失。报告提供了详尽的执行摘要、研究范围界定和市场规模分析，但核心的产业链分析章节（应详细拆解上、中、下游）在提供的待审核内容中缺失。执行摘要和核心数据汇总表虽提及了产业链结构，但缺乏独立的、系统性的章节进行深度剖析，这不符合一级市场研究报告的完整结构要求。</w:t>
      </w:r>
    </w:p>
    <w:p>
      <w:pPr>
        <w:pStyle w:val="ListNumber"/>
        <w:ind w:firstLine="0"/>
      </w:pPr>
      <w:r>
        <w:rPr>
          <w:rFonts w:ascii="Microsoft YaHei" w:hAnsi="Microsoft YaHei" w:eastAsia="Microsoft YaHei"/>
        </w:rPr>
        <w:t xml:space="preserve"> 部分关键数据来源标注模糊。例如，核心数据汇总表中的“上海创新药产业链价值分配（估算）”、“上游关键物料国产化率”等关键数据，仅以“估算”、“凸显...”进行说明，未提供具体的测算依据或引用来源，降低了数据的可验证性和权威性。</w:t>
      </w:r>
    </w:p>
    <w:p>
      <w:pPr>
        <w:pStyle w:val="ListNumber"/>
        <w:ind w:firstLine="0"/>
      </w:pPr>
      <w:r>
        <w:rPr>
          <w:rFonts w:ascii="Microsoft YaHei" w:hAnsi="Microsoft YaHei" w:eastAsia="Microsoft YaHei"/>
        </w:rPr>
        <w:t xml:space="preserve"> 语言存在一处不完整的表述。在“第二章：市场规模与增长驱动力分析”的“三、深度分析与逻辑推演”部分，最后一个子标题“2.3 细分赛道分析：从红海厮杀到蓝海掘金”下的内容在“代谢”一词后戛然而止，属于明显的文本不完整错误。</w:t>
      </w:r>
    </w:p>
    <w:p>
      <w:pPr>
        <w:pStyle w:val="ListNumber"/>
        <w:ind w:firstLine="0"/>
      </w:pPr>
      <w:r>
        <w:rPr>
          <w:rFonts w:ascii="Microsoft YaHei" w:hAnsi="Microsoft YaHei" w:eastAsia="Microsoft YaHei"/>
        </w:rPr>
        <w:t xml:space="preserve"> 报告主体内容不完整。根据章节标题，报告应包含“第一章：研究范围界定”、“第二章：市场规模与增长驱动力分析”，后续理应有“第三章：产业链深度分析”、“第四章：竞争格局与商业模式分析”、“第五章：政策环境与风险分析”及“第六章：投资建议与结论”等。但提交审核的内容止于第二章，导致对竞争格局、商业模式、政策环境等维度的分析无法评估。</w:t>
      </w:r>
    </w:p>
    <w:p>
      <w:r>
        <w:rPr>
          <w:rFonts w:ascii="Microsoft YaHei" w:hAnsi="Microsoft YaHei" w:eastAsia="Microsoft YaHei"/>
        </w:rPr>
        <w:t>【亮点总结】</w:t>
      </w:r>
    </w:p>
    <w:p>
      <w:pPr>
        <w:pStyle w:val="ListNumber"/>
        <w:ind w:firstLine="0"/>
      </w:pPr>
      <w:r>
        <w:rPr>
          <w:rFonts w:ascii="Microsoft YaHei" w:hAnsi="Microsoft YaHei" w:eastAsia="Microsoft YaHei"/>
        </w:rPr>
        <w:t xml:space="preserve"> 研究范围界定清晰、逻辑严谨。报告第一章对“创新药”的定义和“上海市创新药产业”的界定标准非常明确，从监管分类、投资视角、功能所在地等多个维度进行了周密论证，并辅以详细的判定表格，为后续分析奠定了坚实可靠的基础，体现了高度的专业性。</w:t>
      </w:r>
    </w:p>
    <w:p>
      <w:pPr>
        <w:pStyle w:val="ListNumber"/>
        <w:ind w:firstLine="0"/>
      </w:pPr>
      <w:r>
        <w:rPr>
          <w:rFonts w:ascii="Microsoft YaHei" w:hAnsi="Microsoft YaHei" w:eastAsia="Microsoft YaHei"/>
        </w:rPr>
        <w:t xml:space="preserve"> 产业链价值分配意识突出。尽管缺少独立章节，但执行摘要和核心数据表明确提出了产业链“哑铃型结构”、“价值分配向上游核心与下游龙头倾斜”的核心观点，并对上、中、下游的价值占比、毛利率区间、风险等级进行了量化估算和对比，抓住了产业链分析的核心。</w:t>
      </w:r>
    </w:p>
    <w:p>
      <w:pPr>
        <w:pStyle w:val="ListNumber"/>
        <w:ind w:firstLine="0"/>
      </w:pPr>
      <w:r>
        <w:rPr>
          <w:rFonts w:ascii="Microsoft YaHei" w:hAnsi="Microsoft YaHei" w:eastAsia="Microsoft YaHei"/>
        </w:rPr>
        <w:t xml:space="preserve"> 投资逻辑清晰且具有前瞻性。报告明确指出了从“管线数量”到“临床价值与商业化能力”的投资逻辑转变，并基于行业周期判断，提出了“把握2025年行业出清期的结构性布局时机”的具体建议。风险提示全面，覆盖了研发、政策、供应链、资本、竞争等关键维度。</w:t>
      </w:r>
    </w:p>
    <w:p>
      <w:pPr>
        <w:pStyle w:val="ListNumber"/>
        <w:ind w:firstLine="0"/>
      </w:pPr>
      <w:r>
        <w:rPr>
          <w:rFonts w:ascii="Microsoft YaHei" w:hAnsi="Microsoft YaHei" w:eastAsia="Microsoft YaHei"/>
        </w:rPr>
        <w:t xml:space="preserve"> 数据呈现结构化和时效性较好。报告使用了大量表格（如市场规模预测、治疗领域分析、支付结构等）来呈现关键数据，直观清晰。数据基准年和预测年指向2024-2025年，具有较好的时效性和前瞻性。</w:t>
      </w:r>
    </w:p>
    <w:p>
      <w:pPr>
        <w:pStyle w:val="ListNumber"/>
        <w:ind w:firstLine="0"/>
      </w:pPr>
      <w:r>
        <w:rPr>
          <w:rFonts w:ascii="Microsoft YaHei" w:hAnsi="Microsoft YaHei" w:eastAsia="Microsoft YaHei"/>
        </w:rPr>
        <w:t xml:space="preserve"> 格式规范，可读性强。报告严格遵循了Markdown格式，标题层级清晰，表格使用规范，整体排版工整，符合专业研究报告的格式要求。</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A365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E3A8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