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60" w:after="16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售后绩效考核规则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完整案例说明文档（7个场景）</w:t>
      </w:r>
    </w:p>
    <w:p>
      <w:pPr>
        <w:pBdr>
          <w:bottom w:val="single" w:color="1A3A5C" w:sz="8" w:space="8"/>
        </w:pBd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T1/T2/T7/T3/T4/T5/T6 时机点 · 三行叠加核算 · 责任方认定 · 重拍成本按实际发生</w:t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一、绩效毛利核算基础规则</w:t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1.1 绩效毛利公式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绩效毛利 = 交易总毛利 −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（提车费 + 检测成本 + 数据成本 + 销售成本 + 业务合作服务费 + 垫款利息 + 收购车成本 + 政企场地费 + 现场/空中交付成本 + 现场过户成本）</w:t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1.2 基准成本明细</w:t>
      </w:r>
    </w:p>
    <w:p>
      <w:pPr>
        <w:shd w:fill="EBF3FB" w:val="clear"/>
        <w:spacing w:before="60" w:after="60"/>
        <w:ind w:left="10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基准成本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T1提车费¥100  |  T2检测¥85（省内）  |  T7数据¥10（实时独立）  |  T3销售成本¥35  |  T3业务合作费¥300  |  T3垫款利息¥50  |  T4现场交付¥150  |  T5现场过户¥350  |  收购车/政企场地费¥0</w:t>
      </w:r>
    </w:p>
    <w:p>
      <w:pPr>
        <w:shd w:fill="E8F5E9" w:val="clear"/>
        <w:spacing w:before="40" w:after="100"/>
        <w:ind w:left="10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验算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T3后 = 4,000−100−85−10−35−300−50 = </w:t>
      </w:r>
      <w:r>
        <w:rPr>
          <w:rFonts w:ascii="Arial" w:cs="Arial" w:eastAsia="Arial" w:hAnsi="Arial"/>
          <w:b/>
          <w:bCs/>
          <w:color w:val="198754"/>
          <w:sz w:val="18"/>
          <w:szCs w:val="18"/>
        </w:rPr>
        <w:t xml:space="preserve">+3,420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T4后 = +3,270  |  T5后 = +2,920</w:t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1.3 责任方字段取值</w:t>
      </w:r>
    </w:p>
    <w:p>
      <w:pPr>
        <w:shd w:fill="FFF8E1" w:val="clear"/>
        <w:spacing w:before="40" w:after="100"/>
        <w:ind w:left="10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责任方取值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买家  /  门店  /  检测部（唯普内部）  /  车源生态部（唯普内部）  /  服务中心（唯普内部）  /  —（无售后）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核心规则：售后毛利 &lt; 0 时，看责任方认定：</w:t>
      </w:r>
    </w:p>
    <w:p>
      <w:pPr>
        <w:spacing w:before="28" w:after="28"/>
        <w:ind w:left="2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责任方 = 车源生态部  →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需承担责任，新毛利②写入实际亏损（负数），绩效毛利承担</w:t>
      </w:r>
    </w:p>
    <w:p>
      <w:pPr>
        <w:spacing w:before="28" w:after="28"/>
        <w:ind w:left="2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责任方 = 唯普内部（非车源生态部）  →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豁免，交易总毛利归零，新毛利②写 0，绩效毛利不承担亏损</w:t>
      </w:r>
    </w:p>
    <w:p>
      <w:pPr>
        <w:spacing w:before="80" w:after="80"/>
      </w:pPr>
      <w:r>
        <w:t xml:space="preserve"/>
      </w:r>
    </w:p>
    <w:p>
      <w:pPr>
        <w:spacing w:before="28" w:after="28"/>
        <w:ind w:left="2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买家 / 门店：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外部责任方，售后毛利&lt;0时计入绩效毛利，不豁免</w:t>
      </w:r>
    </w:p>
    <w:p>
      <w:pPr>
        <w:spacing w:before="28" w:after="28"/>
        <w:ind w:left="2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车源生态部（唯普内部）：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唯普内部部门，售后毛利&lt;0时计入绩效毛利，不豁免</w:t>
      </w:r>
    </w:p>
    <w:p>
      <w:pPr>
        <w:spacing w:before="28" w:after="28"/>
        <w:ind w:left="2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检测部 / 服务中心（唯普内部）：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唯普内部其他部门（非车源生态部），新毛利②写0，绩效毛利不承担亏损</w:t>
      </w:r>
    </w:p>
    <w:p>
      <w:pPr>
        <w:spacing w:before="28" w:after="28"/>
        <w:ind w:left="2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—（无售后）：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正常成交行，无责任方</w:t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1.4 时机点触发规则</w:t>
      </w:r>
    </w:p>
    <w:p>
      <w:pPr>
        <w:spacing w:before="28" w:after="28"/>
        <w:ind w:left="2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T1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车辆入库：提车费¥100 计入</w:t>
      </w:r>
    </w:p>
    <w:p>
      <w:pPr>
        <w:spacing w:before="28" w:after="28"/>
        <w:ind w:left="2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T2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检测过审：检测成本（省内¥85/省外¥120）计入。延期、过审修正不计费；实质性重新检测则叠加计费</w:t>
      </w:r>
    </w:p>
    <w:p>
      <w:pPr>
        <w:spacing w:before="28" w:after="28"/>
        <w:ind w:left="2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T7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数据查询成功：数据成本¥10 实时计入（独立时机点，与T2无关）</w:t>
      </w:r>
    </w:p>
    <w:p>
      <w:pPr>
        <w:spacing w:before="28" w:after="28"/>
        <w:ind w:left="2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T3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付款清分：交易总毛利、各方毛利、销售成本¥35、业务合作费¥300、垫款利息¥50 等全部写入</w:t>
      </w:r>
    </w:p>
    <w:p>
      <w:pPr>
        <w:spacing w:before="28" w:after="28"/>
        <w:ind w:left="2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T4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交付型出库：现场交付成本¥150 计入</w:t>
      </w:r>
    </w:p>
    <w:p>
      <w:pPr>
        <w:spacing w:before="28" w:after="28"/>
        <w:ind w:left="2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T5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过户资料回收：现场过户成本¥350 计入</w:t>
      </w:r>
    </w:p>
    <w:p>
      <w:pPr>
        <w:spacing w:before="28" w:after="28"/>
        <w:ind w:left="2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T6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售后执行完成：仅冲正交易总毛利；所有成本项永久留存，不退回；业务合作费已收不重收</w:t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1.5 售后三行叠加核算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发生售后退车时，T6 拆为两行，人资取三行绩效毛利叠加：</w:t>
      </w:r>
    </w:p>
    <w:p>
      <w:pPr>
        <w:spacing w:before="36" w:after="36"/>
        <w:ind w:left="280"/>
      </w:pP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>【原始行】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T1→T4逐步累计的原始绩效毛利</w:t>
      </w:r>
    </w:p>
    <w:p>
      <w:pPr>
        <w:spacing w:before="36" w:after="36"/>
        <w:ind w:left="280"/>
      </w:pP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【冲正行①】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T6：原始交易总毛利按负数冲回（成本列全部为0，已发生不退）</w:t>
      </w:r>
    </w:p>
    <w:p>
      <w:pPr>
        <w:spacing w:before="36" w:after="36"/>
        <w:ind w:left="280"/>
      </w:pPr>
      <w:r>
        <w:rPr>
          <w:rFonts w:ascii="Arial" w:cs="Arial" w:eastAsia="Arial" w:hAnsi="Arial"/>
          <w:b/>
          <w:bCs/>
          <w:color w:val="E65100"/>
          <w:sz w:val="19"/>
          <w:szCs w:val="19"/>
        </w:rPr>
        <w:t xml:space="preserve">【新毛利行②】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T6：退车后实际毛利结果，依责任方写入（见1.3节规则）</w:t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1.6 重拍成本计算原则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退车后车辆留在唯普库，重拍为新订单，成本按实际发生触发：</w:t>
      </w:r>
    </w:p>
    <w:p>
      <w:pPr>
        <w:spacing w:before="28" w:after="28"/>
        <w:ind w:left="2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提车费¥100：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不重计 — 车辆已在唯普库，无需重新提车</w:t>
      </w:r>
    </w:p>
    <w:p>
      <w:pPr>
        <w:spacing w:before="28" w:after="28"/>
        <w:ind w:left="2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T2检测¥85：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重新触发计入</w:t>
      </w:r>
    </w:p>
    <w:p>
      <w:pPr>
        <w:spacing w:before="28" w:after="28"/>
        <w:ind w:left="2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T7数据¥10：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重新触发计入</w:t>
      </w:r>
    </w:p>
    <w:p>
      <w:pPr>
        <w:spacing w:before="28" w:after="28"/>
        <w:ind w:left="2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T3各项（销售成本/业务合作费/垫款利息）：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重新触发计入</w:t>
      </w:r>
    </w:p>
    <w:p>
      <w:pPr>
        <w:spacing w:before="28" w:after="28"/>
        <w:ind w:left="28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· 重拍绩效毛利行：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套用案例一逻辑（正常成交）：绩效毛利 = 重拍交易总毛利 − 本次实际发生成本</w:t>
      </w:r>
    </w:p>
    <w:p>
      <w:pPr>
        <w:spacing w:before="0" w:after="0"/>
      </w:pPr>
      <w:r>
        <w:br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二、案例详细说明</w:t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案例一：正常成交场景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粤B12345 委拍车，省内检测，完整走完 T1→T2→T7→T3→T4→T5，无售后，责任方为"—"。</w:t>
      </w:r>
    </w:p>
    <w:p>
      <w:pPr>
        <w:spacing w:before="80" w:after="80"/>
      </w:pPr>
      <w:r>
        <w:t xml:space="preserve"/>
      </w:r>
    </w:p>
    <w:tbl>
      <w:tblPr>
        <w:tblW w:type="dxa" w:w="1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0"/>
        <w:gridCol w:w="780"/>
        <w:gridCol w:w="840"/>
        <w:gridCol w:w="860"/>
        <w:gridCol w:w="740"/>
        <w:gridCol w:w="740"/>
        <w:gridCol w:w="740"/>
        <w:gridCol w:w="640"/>
        <w:gridCol w:w="580"/>
        <w:gridCol w:w="580"/>
        <w:gridCol w:w="580"/>
        <w:gridCol w:w="580"/>
        <w:gridCol w:w="640"/>
        <w:gridCol w:w="560"/>
        <w:gridCol w:w="640"/>
        <w:gridCol w:w="760"/>
        <w:gridCol w:w="860"/>
      </w:tblGrid>
      <w:tr>
        <w:trPr>
          <w:tblHeader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月份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车牌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关键事件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责任方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成交价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交易总毛利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唯普毛利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检测成本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数据成本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提车费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销售成本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垫款利息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现场交付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空中交付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现场过户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业务合作费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绩效毛利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T1 入库（3/8）— 提车费 ¥100 计入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3/8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入库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-100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T2 检测过审（3/8）— 检测成本 ¥85 计入（延期/修正不计费）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3/8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检测过审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-185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T7 数据查询成功（3/8）— 数据成本 ¥10 实时计入（独立于T2）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3/8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数据查询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-195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T3 付款清分（3/10）— 交易总毛利¥4,000 + 销售成本¥35 + 业务合作费¥300 + 垫款利息¥50 写入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3/10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已清分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+3,420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T4 交付型出库（3/10）— 现场交付成本 ¥150 计入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3/10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已交付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150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+3,270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T5 过户资料回收（3/11）— 现场过户成本 ¥350 计入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3/11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已过户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150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+2,920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[T1]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0−100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= -100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[T2]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−85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累计 = -185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[T7]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−10（实时独立）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累计 = -195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[T3]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+4,000−35−300−50 → 4,000−100−85−10−35−300−50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>= +3,420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[T4]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−150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>= +3,270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[T5终值]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−350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>= +2,920（无售后，最终结算值）</w:t>
      </w:r>
    </w:p>
    <w:p>
      <w:pPr>
        <w:spacing w:before="0" w:after="0"/>
      </w:pPr>
      <w:r>
        <w:br/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案例二：售后盈利（不论责任方，3月成交，4月售后）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售后实际盈利 ¥2,000，无论责任方归属均写入实际盈利金额。T6 先冲回原毛利，再写入盈利。</w:t>
      </w:r>
    </w:p>
    <w:p>
      <w:pPr>
        <w:pBdr>
          <w:left w:val="single" w:color="2E75B6" w:sz="12" w:space="8"/>
        </w:pBdr>
        <w:spacing w:before="80" w:after="80"/>
        <w:ind w:left="18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人资核算：【原始行 +3,270】+【冲正① -4,000】+【新毛利② +2,000】= +1,270</w:t>
      </w:r>
    </w:p>
    <w:tbl>
      <w:tblPr>
        <w:tblW w:type="dxa" w:w="1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0"/>
        <w:gridCol w:w="780"/>
        <w:gridCol w:w="840"/>
        <w:gridCol w:w="860"/>
        <w:gridCol w:w="740"/>
        <w:gridCol w:w="740"/>
        <w:gridCol w:w="740"/>
        <w:gridCol w:w="640"/>
        <w:gridCol w:w="580"/>
        <w:gridCol w:w="580"/>
        <w:gridCol w:w="580"/>
        <w:gridCol w:w="580"/>
        <w:gridCol w:w="640"/>
        <w:gridCol w:w="560"/>
        <w:gridCol w:w="640"/>
        <w:gridCol w:w="760"/>
        <w:gridCol w:w="860"/>
      </w:tblGrid>
      <w:tr>
        <w:trPr>
          <w:tblHeader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月份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车牌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关键事件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责任方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成交价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交易总毛利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唯普毛利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检测成本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数据成本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提车费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销售成本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垫款利息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现场交付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空中交付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现场过户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业务合作费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绩效毛利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T3+T4 原始成交行（3/10，含T1/T2/T7累计成本）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3/10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已交付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150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[原始] +3,270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F7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T6 售后执行完成（4/18）— ① 冲回原始交易总毛利 ¥4,000（成本列为0，已发生不退）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4/18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买家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[冲正①] -4,000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F7E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T6 售后执行完成（4/18）— ② 新毛利②写入实际盈利 +2,000（售后毛利&gt;0，不论责任方均写入实际金额）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4/18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买家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+2,000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+2,000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[新毛利②] +2,000</w:t>
            </w:r>
          </w:p>
        </w:tc>
      </w:tr>
      <w:tr>
        <w:tc>
          <w:tcPr>
            <w:gridSpan w:val="17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【人资叠加】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原始 +3,270  ＋  冲正① -4,000  ＋  新毛利② +2,000</w:t>
            </w: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  =</w:t>
            </w:r>
          </w:p>
        </w:tc>
        <w:tc>
          <w:tcPr>
            <w:tcW w:type="dxa" w:w="860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9"/>
                <w:szCs w:val="19"/>
              </w:rPr>
              <w:t xml:space="preserve">+1,270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[原始行]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+3,270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[冲正①]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-4,000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[新毛利②]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退车实际盈利，不论责任方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>= +2,000</w:t>
      </w:r>
    </w:p>
    <w:p>
      <w:pPr>
        <w:shd w:fill="1A3A5C" w:val="clear"/>
        <w:spacing w:before="80" w:after="8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最终绩效毛利    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+3,270 − 4,000 + 2,000  =  </w:t>
      </w:r>
      <w:r>
        <w:rPr>
          <w:rFonts w:ascii="Arial" w:cs="Arial" w:eastAsia="Arial" w:hAnsi="Arial"/>
          <w:b/>
          <w:bCs/>
          <w:color w:val="86EFAC"/>
          <w:sz w:val="21"/>
          <w:szCs w:val="21"/>
        </w:rPr>
        <w:t xml:space="preserve">+1,270</w:t>
      </w:r>
    </w:p>
    <w:p>
      <w:pPr>
        <w:spacing w:before="0" w:after="0"/>
      </w:pPr>
      <w:r>
        <w:br/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842029"/>
          <w:sz w:val="24"/>
          <w:szCs w:val="24"/>
        </w:rPr>
        <w:t xml:space="preserve">案例三：售后亏损（交易总毛利&lt;0）— 责任方：车源生态部（唯普内部）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售后交易总毛利 &lt; 0，实际亏损 ¥2,000。车源生态部责任 → 新毛利②写入实际亏损，不豁免，绩效毛利承担。</w:t>
      </w:r>
    </w:p>
    <w:p>
      <w:pPr>
        <w:pBdr>
          <w:left w:val="single" w:color="2E75B6" w:sz="12" w:space="8"/>
        </w:pBdr>
        <w:spacing w:before="80" w:after="80"/>
        <w:ind w:left="18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人资核算：【原始行 +3,270】+【冲正① -4,000】+【新毛利② -2,000】= -2,730</w:t>
      </w:r>
    </w:p>
    <w:tbl>
      <w:tblPr>
        <w:tblW w:type="dxa" w:w="1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0"/>
        <w:gridCol w:w="780"/>
        <w:gridCol w:w="840"/>
        <w:gridCol w:w="860"/>
        <w:gridCol w:w="740"/>
        <w:gridCol w:w="740"/>
        <w:gridCol w:w="740"/>
        <w:gridCol w:w="640"/>
        <w:gridCol w:w="580"/>
        <w:gridCol w:w="580"/>
        <w:gridCol w:w="580"/>
        <w:gridCol w:w="580"/>
        <w:gridCol w:w="640"/>
        <w:gridCol w:w="560"/>
        <w:gridCol w:w="640"/>
        <w:gridCol w:w="760"/>
        <w:gridCol w:w="860"/>
      </w:tblGrid>
      <w:tr>
        <w:trPr>
          <w:tblHeader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月份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车牌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关键事件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责任方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成交价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交易总毛利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唯普毛利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检测成本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数据成本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提车费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销售成本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垫款利息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现场交付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空中交付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现场过户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业务合作费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绩效毛利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T3+T4 原始成交行（3/10，含T1/T2/T7累计成本）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3/10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已交付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150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[原始] +3,270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T6 售后执行完成（4/20）— ① 冲回原始交易总毛利 ¥4,000（成本列为0，已发生不退）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车源生态部（唯普内部）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[冲正①] -4,000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T6 售后执行完成（4/20）— ② 售后毛利&lt;0，责任方=车源生态部，新毛利②写入实际亏损 -2,000（不豁免）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车源生态部（唯普内部）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-2,000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-2,000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[新毛利②] -2,000</w:t>
            </w:r>
          </w:p>
        </w:tc>
      </w:tr>
      <w:tr>
        <w:tc>
          <w:tcPr>
            <w:gridSpan w:val="17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【人资叠加】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原始 +3,270  ＋  冲正① -4,000  ＋  新毛利② -2,000</w:t>
            </w: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  =</w:t>
            </w:r>
          </w:p>
        </w:tc>
        <w:tc>
          <w:tcPr>
            <w:tcW w:type="dxa" w:w="860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-2,730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[原始行]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+3,270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[冲正①]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-4,000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[新毛利②]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车源生态部责任，不豁免，写入实际亏损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= -2,000</w:t>
      </w:r>
    </w:p>
    <w:p>
      <w:pPr>
        <w:shd w:fill="1A3A5C" w:val="clear"/>
        <w:spacing w:before="80" w:after="8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最终绩效毛利    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+3,270 − 4,000 − 2,000  =  </w:t>
      </w:r>
      <w:r>
        <w:rPr>
          <w:rFonts w:ascii="Arial" w:cs="Arial" w:eastAsia="Arial" w:hAnsi="Arial"/>
          <w:b/>
          <w:bCs/>
          <w:color w:val="FCA5A5"/>
          <w:sz w:val="21"/>
          <w:szCs w:val="21"/>
        </w:rPr>
        <w:t xml:space="preserve">-2,730</w:t>
      </w:r>
    </w:p>
    <w:p>
      <w:pPr>
        <w:spacing w:before="40" w:after="40"/>
        <w:ind w:left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· 责任方：车源生态部（唯普内部）| 售后毛利&lt;0，绩效毛利承担亏损</w:t>
      </w:r>
    </w:p>
    <w:p>
      <w:pPr>
        <w:spacing w:before="0" w:after="0"/>
      </w:pPr>
      <w:r>
        <w:br/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856404"/>
          <w:sz w:val="24"/>
          <w:szCs w:val="24"/>
        </w:rPr>
        <w:t xml:space="preserve">案例四：售后亏损（交易总毛利&lt;0）— 责任方：唯普内部（非车源生态部），新毛利②归零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售后交易总毛利 &lt; 0，实际亏损 ¥2,000。责任方为唯普内部其他部门（检测部/服务中心等，非车源生态部）。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售后毛利&lt;0 且责任方为唯普内部（非车源生态部）→ 豁免，交易总毛利归零，新毛利②写 0，绩效毛利不承担亏损。</w:t>
      </w:r>
    </w:p>
    <w:p>
      <w:pPr>
        <w:pBdr>
          <w:left w:val="single" w:color="2E75B6" w:sz="12" w:space="8"/>
        </w:pBdr>
        <w:spacing w:before="80" w:after="80"/>
        <w:ind w:left="18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与案例三对比：同样售后亏损¥2,000，车源生态部责任最终 -2,730；唯普内部其他部门责任最终 -730，相差¥2,000。</w:t>
      </w:r>
    </w:p>
    <w:tbl>
      <w:tblPr>
        <w:tblW w:type="dxa" w:w="1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0"/>
        <w:gridCol w:w="780"/>
        <w:gridCol w:w="840"/>
        <w:gridCol w:w="860"/>
        <w:gridCol w:w="740"/>
        <w:gridCol w:w="740"/>
        <w:gridCol w:w="740"/>
        <w:gridCol w:w="640"/>
        <w:gridCol w:w="580"/>
        <w:gridCol w:w="580"/>
        <w:gridCol w:w="580"/>
        <w:gridCol w:w="580"/>
        <w:gridCol w:w="640"/>
        <w:gridCol w:w="560"/>
        <w:gridCol w:w="640"/>
        <w:gridCol w:w="760"/>
        <w:gridCol w:w="860"/>
      </w:tblGrid>
      <w:tr>
        <w:trPr>
          <w:tblHeader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月份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车牌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关键事件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责任方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成交价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交易总毛利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唯普毛利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检测成本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数据成本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提车费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销售成本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垫款利息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现场交付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空中交付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现场过户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业务合作费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绩效毛利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T3+T4 原始成交行（3/10，含T1/T2/T7累计成本）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3/10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已交付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150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[原始] +3,270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T6 售后执行完成（4/20）— ① 冲回原始交易总毛利 ¥4,000（成本列为0，已发生不退）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检测部（唯普内部）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[冲正①] -4,000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T6 售后执行完成（4/20）— ② 售后毛利&lt;0，责任方=唯普内部（非车源生态部），豁免，新毛利②写 0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检测部（唯普内部）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[新毛利②] 0</w:t>
            </w:r>
          </w:p>
        </w:tc>
      </w:tr>
      <w:tr>
        <w:tc>
          <w:tcPr>
            <w:gridSpan w:val="17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【人资叠加】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原始 +3,270  ＋  冲正① -4,000  ＋  新毛利② 0</w:t>
            </w: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  =</w:t>
            </w:r>
          </w:p>
        </w:tc>
        <w:tc>
          <w:tcPr>
            <w:tcW w:type="dxa" w:w="860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-730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[原始行]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+3,270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[冲正①]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-4,000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[新毛利②]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唯普内部（非车源生态部）责任，交易总毛利归零  </w:t>
      </w:r>
      <w:r>
        <w:rPr>
          <w:rFonts w:ascii="Arial" w:cs="Arial" w:eastAsia="Arial" w:hAnsi="Arial"/>
          <w:b/>
          <w:bCs/>
          <w:color w:val="AAAAAA"/>
          <w:sz w:val="19"/>
          <w:szCs w:val="19"/>
        </w:rPr>
        <w:t xml:space="preserve">= 0</w:t>
      </w:r>
    </w:p>
    <w:p>
      <w:pPr>
        <w:shd w:fill="1A3A5C" w:val="clear"/>
        <w:spacing w:before="80" w:after="8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最终绩效毛利    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+3,270 − 4,000 + 0  =  </w:t>
      </w:r>
      <w:r>
        <w:rPr>
          <w:rFonts w:ascii="Arial" w:cs="Arial" w:eastAsia="Arial" w:hAnsi="Arial"/>
          <w:b/>
          <w:bCs/>
          <w:color w:val="FCA5A5"/>
          <w:sz w:val="21"/>
          <w:szCs w:val="21"/>
        </w:rPr>
        <w:t xml:space="preserve">-730（仅承担已发生成本净影响）</w:t>
      </w:r>
    </w:p>
    <w:p>
      <w:pPr>
        <w:spacing w:before="40" w:after="40"/>
        <w:ind w:left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· 案例三 vs 四：车源生态部 -2,730；唯普内部（非车源生态部）-730，相差¥2,000</w:t>
      </w:r>
    </w:p>
    <w:p>
      <w:pPr>
        <w:spacing w:before="0" w:after="0"/>
      </w:pPr>
      <w:r>
        <w:br/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案例五：售后退车重拍（售后交易总毛利&lt;0，不论责任方均由车源生态部承担）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T6阶段：售后交易总毛利 &lt; 0，不论责任方，均视同车源生态部承担 → 新毛利②写入实际亏损值（同案例三逻辑）。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重拍新订单：成本按实际发生触发。车辆已在唯普库无需重新提车，提车费¥100不重计；T2检测¥85、T7数据¥10、T3各项按实际重新触发。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重拍绩效毛利行：套用案例一逻辑（正常成交，无售后）= 重拍交易总毛利 − 本次实际发生成本。</w:t>
      </w:r>
    </w:p>
    <w:p>
      <w:pPr>
        <w:pBdr>
          <w:left w:val="single" w:color="2E75B6" w:sz="12" w:space="8"/>
        </w:pBdr>
        <w:spacing w:before="80" w:after="80"/>
        <w:ind w:left="18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人资核算：原始行 + 冲正① + 新毛利②（实际亏损）+ 重拍清分行，四行叠加。</w:t>
      </w:r>
    </w:p>
    <w:tbl>
      <w:tblPr>
        <w:tblW w:type="dxa" w:w="1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0"/>
        <w:gridCol w:w="780"/>
        <w:gridCol w:w="840"/>
        <w:gridCol w:w="860"/>
        <w:gridCol w:w="740"/>
        <w:gridCol w:w="740"/>
        <w:gridCol w:w="740"/>
        <w:gridCol w:w="640"/>
        <w:gridCol w:w="580"/>
        <w:gridCol w:w="580"/>
        <w:gridCol w:w="580"/>
        <w:gridCol w:w="580"/>
        <w:gridCol w:w="640"/>
        <w:gridCol w:w="560"/>
        <w:gridCol w:w="640"/>
        <w:gridCol w:w="760"/>
        <w:gridCol w:w="860"/>
      </w:tblGrid>
      <w:tr>
        <w:trPr>
          <w:tblHeader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月份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车牌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关键事件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责任方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成交价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交易总毛利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唯普毛利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检测成本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数据成本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提车费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销售成本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垫款利息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现场交付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空中交付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现场过户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业务合作费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绩效毛利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【原始交易】T3+T4 原始成交行（3/10，含T1/T2/T7累计成本）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3/10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已交付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150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[原始] +3,270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T6 售后执行完成（4/20）— ① 冲回原始交易总毛利 ¥4,000（成本列为0，已发生不退）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买家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[冲正①] -4,000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42029"/>
                <w:sz w:val="18"/>
                <w:szCs w:val="18"/>
              </w:rPr>
              <w:t xml:space="preserve">T6 售后执行完成（4/20）— ② 售后毛利&lt;0，不论责任方均由车源生态部承担，新毛利②写入实际亏损 -2,000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车源生态部（唯普内部）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-2,000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-2,000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[新毛利②] -2,000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【重拍新订单】T2 检测过审（4/21）— 检测¥85 重新触发 | 车在库，提车费不重计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4/21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重拍检测过审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/>
                <w:color w:val="CCCCCC"/>
                <w:sz w:val="18"/>
                <w:szCs w:val="18"/>
              </w:rPr>
              <w:t xml:space="preserve">不计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-85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【重拍新订单】T7 数据查询成功（4/21）— 数据成本 ¥10 重新触发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4/21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重拍数据查询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/>
                <w:color w:val="CCCCCC"/>
                <w:sz w:val="18"/>
                <w:szCs w:val="18"/>
              </w:rPr>
              <w:t xml:space="preserve">不计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-95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【重拍新订单】T3 付款清分（5/5）— 重拍毛利 + 销售成本¥35 + 业务合作费¥300 + 垫款利息¥50 | 套用案例一逻辑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5/5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粤B12345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重拍已清分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46,000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-2,000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-2,000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/>
                <w:color w:val="CCCCCC"/>
                <w:sz w:val="18"/>
                <w:szCs w:val="18"/>
              </w:rPr>
              <w:t xml:space="preserve">不计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[重拍] -2,480</w:t>
            </w:r>
          </w:p>
        </w:tc>
      </w:tr>
      <w:tr>
        <w:tc>
          <w:tcPr>
            <w:gridSpan w:val="17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【人资叠加】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原始 +3,270  ＋  冲正① -4,000  ＋  新毛利② -2,000  ＋  重拍 -2,480</w:t>
            </w: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  =</w:t>
            </w:r>
          </w:p>
        </w:tc>
        <w:tc>
          <w:tcPr>
            <w:tcW w:type="dxa" w:w="860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-5,210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[原始行]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+3,270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[冲正①]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冲回原毛利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= -4,000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[新毛利②]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售后毛利&lt;0，不论责任方均由车源生态部承担，写入实际亏损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= -2,000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[提车费]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车在唯普库，不重计  </w:t>
      </w:r>
      <w:r>
        <w:rPr>
          <w:rFonts w:ascii="Arial" w:cs="Arial" w:eastAsia="Arial" w:hAnsi="Arial"/>
          <w:b/>
          <w:bCs/>
          <w:color w:val="AAAAAA"/>
          <w:sz w:val="19"/>
          <w:szCs w:val="19"/>
        </w:rPr>
        <w:t xml:space="preserve">= 不计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[重拍实际成本]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检测¥85 + 数据¥10 + 销售成本¥35 + 业务合作费¥300 + 垫款利息¥50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= ¥480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[重拍行]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−2,000−85−10−35−300−50（提车费不计）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= -2,480</w:t>
      </w:r>
    </w:p>
    <w:p>
      <w:pPr>
        <w:shd w:fill="1A3A5C" w:val="clear"/>
        <w:spacing w:before="80" w:after="8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最终绩效毛利    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+3,270 − 4,000 − 2,000 − 2,480  =  </w:t>
      </w:r>
      <w:r>
        <w:rPr>
          <w:rFonts w:ascii="Arial" w:cs="Arial" w:eastAsia="Arial" w:hAnsi="Arial"/>
          <w:b/>
          <w:bCs/>
          <w:color w:val="FCA5A5"/>
          <w:sz w:val="21"/>
          <w:szCs w:val="21"/>
        </w:rPr>
        <w:t xml:space="preserve">-5,210</w:t>
      </w:r>
    </w:p>
    <w:p>
      <w:pPr>
        <w:spacing w:before="0" w:after="0"/>
      </w:pPr>
      <w:r>
        <w:br/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856404"/>
          <w:sz w:val="24"/>
          <w:szCs w:val="24"/>
        </w:rPr>
        <w:t xml:space="preserve">案例六：售后退车 — 业务合作费处理（已收费不在此重复收取）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T3清分时业务合作费¥300已收取写入。T6冲正行与新毛利行业务合作费列均为0：不退回、不重收。</w:t>
      </w:r>
    </w:p>
    <w:p>
      <w:pPr>
        <w:pBdr>
          <w:left w:val="single" w:color="2E75B6" w:sz="12" w:space="8"/>
        </w:pBdr>
        <w:spacing w:before="80" w:after="80"/>
        <w:ind w:left="18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核心规则：业务合作费¥300 锁定在原始行（T3一次性收取），T6两行成本列均为0 — 不退回、不重收。</w:t>
      </w:r>
    </w:p>
    <w:tbl>
      <w:tblPr>
        <w:tblW w:type="dxa" w:w="1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0"/>
        <w:gridCol w:w="780"/>
        <w:gridCol w:w="840"/>
        <w:gridCol w:w="860"/>
        <w:gridCol w:w="740"/>
        <w:gridCol w:w="740"/>
        <w:gridCol w:w="740"/>
        <w:gridCol w:w="640"/>
        <w:gridCol w:w="580"/>
        <w:gridCol w:w="580"/>
        <w:gridCol w:w="580"/>
        <w:gridCol w:w="580"/>
        <w:gridCol w:w="640"/>
        <w:gridCol w:w="560"/>
        <w:gridCol w:w="640"/>
        <w:gridCol w:w="760"/>
        <w:gridCol w:w="860"/>
      </w:tblGrid>
      <w:tr>
        <w:trPr>
          <w:tblHeader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月份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车牌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关键事件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责任方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成交价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交易总毛利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唯普毛利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检测成本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数据成本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提车费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销售成本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垫款利息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现场交付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空中交付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现场过户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业务合作费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绩效毛利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T3 付款清分（3/12）— 业务合作费¥300 在T3一次性收取写入，后续不再重复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3/12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粤B99999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已清分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48,000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300(已收)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[原始] +3,420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T6 售后执行完成（4/25）— ① 冲回原始交易总毛利 ¥4,000（业务合作费列=0，已收不退回）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4/25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粤B99999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检测部（唯普内部）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48,000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DC3545"/>
                <w:sz w:val="18"/>
                <w:szCs w:val="18"/>
              </w:rPr>
              <w:t xml:space="preserve">-4,000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0(不退)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[冲正①] -4,000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T6 售后执行完成（4/25）— ② 唯普内部责任，新毛利②写 0（业务合作费列=0，不重复收取）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4/25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粤B99999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售后退车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检测部（唯普内部）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48,000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0(不重收)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8"/>
                <w:szCs w:val="18"/>
              </w:rPr>
              <w:t xml:space="preserve">[新毛利②] 0</w:t>
            </w:r>
          </w:p>
        </w:tc>
      </w:tr>
      <w:tr>
        <w:tc>
          <w:tcPr>
            <w:gridSpan w:val="17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【人资叠加】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原始 +3,420  ＋  冲正① -4,000  ＋  新毛利② 0</w:t>
            </w: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  =</w:t>
            </w:r>
          </w:p>
        </w:tc>
        <w:tc>
          <w:tcPr>
            <w:tcW w:type="dxa" w:w="860"/>
            <w:tcBorders>
              <w:top w:val="single" w:color="1A3A5C" w:sz="1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9"/>
                <w:szCs w:val="19"/>
              </w:rPr>
              <w:t xml:space="preserve">-580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[原始行]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4,000−85−10−100−35−50−300（业务合作费已收）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>= +3,420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[冲正①]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冲回原毛利，业务合作费列=0（已收，不退回）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= -4,000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[新毛利②]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唯普内部责任，归零；业务合作费列=0（不重收）  </w:t>
      </w:r>
      <w:r>
        <w:rPr>
          <w:rFonts w:ascii="Arial" w:cs="Arial" w:eastAsia="Arial" w:hAnsi="Arial"/>
          <w:b/>
          <w:bCs/>
          <w:color w:val="AAAAAA"/>
          <w:sz w:val="19"/>
          <w:szCs w:val="19"/>
        </w:rPr>
        <w:t xml:space="preserve">= 0</w:t>
      </w:r>
    </w:p>
    <w:p>
      <w:pPr>
        <w:shd w:fill="1A3A5C" w:val="clear"/>
        <w:spacing w:before="80" w:after="8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最终绩效毛利    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+3,420 − 4,000 + 0  =  </w:t>
      </w:r>
      <w:r>
        <w:rPr>
          <w:rFonts w:ascii="Arial" w:cs="Arial" w:eastAsia="Arial" w:hAnsi="Arial"/>
          <w:b/>
          <w:bCs/>
          <w:color w:val="FCA5A5"/>
          <w:sz w:val="21"/>
          <w:szCs w:val="21"/>
        </w:rPr>
        <w:t xml:space="preserve">-580</w:t>
      </w:r>
    </w:p>
    <w:p>
      <w:pPr>
        <w:spacing w:before="40" w:after="40"/>
        <w:ind w:left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· 业务合作费¥300：T3收取一次，T6两行均为0（不退回、不重收）</w:t>
      </w:r>
    </w:p>
    <w:p>
      <w:pPr>
        <w:spacing w:before="0" w:after="0"/>
      </w:pPr>
      <w:r>
        <w:br/>
      </w:r>
    </w:p>
    <w:p>
      <w:pPr>
        <w:pStyle w:val="Heading2"/>
        <w:pBdr>
          <w:bottom w:val="single" w:color="CCCCCC" w:sz="4" w:space="4"/>
        </w:pBd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案例七：车辆两次检测叠加计费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粤B88888 第一次检测过审后因车辆实质问题重新检测，两次均计费¥85，累计¥170。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检测单延期、过审修正不计费。T7数据成本独立触发，只查一次计一次¥10。</w:t>
      </w:r>
    </w:p>
    <w:tbl>
      <w:tblPr>
        <w:tblW w:type="dxa" w:w="12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0"/>
        <w:gridCol w:w="780"/>
        <w:gridCol w:w="840"/>
        <w:gridCol w:w="860"/>
        <w:gridCol w:w="740"/>
        <w:gridCol w:w="740"/>
        <w:gridCol w:w="740"/>
        <w:gridCol w:w="640"/>
        <w:gridCol w:w="580"/>
        <w:gridCol w:w="580"/>
        <w:gridCol w:w="580"/>
        <w:gridCol w:w="580"/>
        <w:gridCol w:w="640"/>
        <w:gridCol w:w="560"/>
        <w:gridCol w:w="640"/>
        <w:gridCol w:w="760"/>
        <w:gridCol w:w="860"/>
      </w:tblGrid>
      <w:tr>
        <w:trPr>
          <w:tblHeader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月份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车牌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关键事件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责任方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成交价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交易总毛利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唯普毛利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检测成本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数据成本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提车费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销售成本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垫款利息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现场交付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空中交付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现场过户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业务合作费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7"/>
                <w:szCs w:val="17"/>
              </w:rPr>
              <w:t xml:space="preserve">绩效毛利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T1 入库（3/2）— 提车费 ¥100 计入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3/2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粤B88888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入库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-100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T2 第一次检测过审（3/2 14:00）— 检测成本第①次 ¥85 计入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3/2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粤B88888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检测过审①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-185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T7 数据查询成功（3/2 14:30）— 数据成本 ¥10 计入（本次交易只查一次）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3/2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粤B88888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数据查询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85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6FD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-195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说明：此后检测单延期2天、过审修正一次 — 均不计费，检测成本不新增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T2 第二次检测过审（3/6）— 车辆实质问题重新检测，第②次叠加¥85，累计检测成本¥170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3/6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粤B88888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检测过审②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170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-280</w:t>
            </w:r>
          </w:p>
        </w:tc>
      </w:tr>
      <w:tr>
        <w:tc>
          <w:tcPr>
            <w:gridSpan w:val="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AE8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T3 付款清分（3/10）— 两次检测成本¥170已累计 + 销售成本¥35 + 业务合作费¥300 + 垫款利息¥50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3月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3/10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粤B88888</w:t>
            </w:r>
          </w:p>
        </w:tc>
        <w:tc>
          <w:tcPr>
            <w:tcW w:type="dxa" w:w="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已清分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198754"/>
                <w:sz w:val="18"/>
                <w:szCs w:val="18"/>
              </w:rPr>
              <w:t xml:space="preserve">+4,000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170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100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50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AAAAAA"/>
                <w:sz w:val="18"/>
                <w:szCs w:val="18"/>
              </w:rPr>
              <w:t xml:space="preserve">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trike w:val="false"/>
                <w:color w:val="1A3A5C"/>
                <w:sz w:val="18"/>
                <w:szCs w:val="18"/>
              </w:rPr>
              <w:t xml:space="preserve">300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+3,335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[第①次T2]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正常过审，¥85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[T7]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数据查询，¥10（只查一次）  </w:t>
      </w:r>
      <w:r>
        <w:rPr>
          <w:rFonts w:ascii="Arial" w:cs="Arial" w:eastAsia="Arial" w:hAnsi="Arial"/>
          <w:b/>
          <w:bCs/>
          <w:color w:val="198754"/>
          <w:sz w:val="19"/>
          <w:szCs w:val="19"/>
        </w:rPr>
        <w:t xml:space="preserve"/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[不计费]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延期 / 过审修正  </w:t>
      </w:r>
      <w:r>
        <w:rPr>
          <w:rFonts w:ascii="Arial" w:cs="Arial" w:eastAsia="Arial" w:hAnsi="Arial"/>
          <w:b/>
          <w:bCs/>
          <w:color w:val="AAAAAA"/>
          <w:sz w:val="19"/>
          <w:szCs w:val="19"/>
        </w:rPr>
        <w:t xml:space="preserve">→ 成本不新增</w:t>
      </w:r>
    </w:p>
    <w:p>
      <w:pPr>
        <w:shd w:fill="F5F5F5" w:val="clear"/>
        <w:spacing w:before="28" w:after="28"/>
        <w:ind w:left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[第②次T2]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实质重新检测，叠加¥85，累计检测成本  </w:t>
      </w:r>
      <w:r>
        <w:rPr>
          <w:rFonts w:ascii="Arial" w:cs="Arial" w:eastAsia="Arial" w:hAnsi="Arial"/>
          <w:b/>
          <w:bCs/>
          <w:color w:val="DC3545"/>
          <w:sz w:val="19"/>
          <w:szCs w:val="19"/>
        </w:rPr>
        <w:t xml:space="preserve">= ¥170</w:t>
      </w:r>
    </w:p>
    <w:p>
      <w:pPr>
        <w:shd w:fill="1A3A5C" w:val="clear"/>
        <w:spacing w:before="80" w:after="80"/>
        <w:ind w:left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最终绩效毛利    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4,000−170−10−100−35−50−300（T3清分绩效毛利）  =  </w:t>
      </w:r>
      <w:r>
        <w:rPr>
          <w:rFonts w:ascii="Arial" w:cs="Arial" w:eastAsia="Arial" w:hAnsi="Arial"/>
          <w:b/>
          <w:bCs/>
          <w:color w:val="86EFAC"/>
          <w:sz w:val="21"/>
          <w:szCs w:val="21"/>
        </w:rPr>
        <w:t xml:space="preserve">+3,335</w:t>
      </w:r>
    </w:p>
    <w:p>
      <w:pPr>
        <w:spacing w:before="40" w:after="40"/>
        <w:ind w:left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· 对比基准（检测¥85）：多一次¥85 → 绩效毛利 +3,420 → +3,335</w:t>
      </w:r>
    </w:p>
    <w:sectPr>
      <w:pgSz w:w="15840" w:h="12240" w:orient="landscape"/>
      <w:pgMar w:top="700" w:right="620" w:bottom="7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2026-03-13T10:35:08.230Z</dcterms:created>
  <dcterms:modified xsi:type="dcterms:W3CDTF">2026-03-13T10:35:08.230Z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