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17"/>
        </w:rPr>
        <w:t>SISTEMA DE GESTIÓN DE LA CALIDAD EDUCATIVA • ISO 21001:2018</w:t>
        <w:br/>
      </w:r>
      <w:r>
        <w:rPr>
          <w:rFonts w:ascii="Arial" w:hAnsi="Arial"/>
          <w:b/>
          <w:color w:val="1A3A5C"/>
          <w:sz w:val="30"/>
        </w:rPr>
        <w:t>INFORME OFICIAL DE ANALÍTICA DEL APRENDIZAJE Y AUDITORÍA COGNITIVA</w:t>
      </w:r>
    </w:p>
    <w:p>
      <w:pPr>
        <w:jc w:val="center"/>
      </w:pPr>
      <w:r>
        <w:rPr>
          <w:rFonts w:ascii="Arial" w:hAnsi="Arial"/>
          <w:b/>
          <w:color w:val="1E293B"/>
          <w:sz w:val="19"/>
        </w:rPr>
        <w:t>ASIGNATURA: FIS301 - FISICA CUANTICA APLICADA • ANÁLISIS MULTIDIMENSIONAL • ENFOQUE HUMANO</w:t>
      </w:r>
    </w:p>
    <w:tbl>
      <w:tblPr>
        <w:tblW w:type="auto" w:w="0"/>
        <w:jc w:val="center"/>
        <w:tblLayout w:type="fixed"/>
        <w:tblLook w:firstColumn="1" w:firstRow="1" w:lastColumn="0" w:lastRow="0" w:noHBand="0" w:noVBand="1" w:val="04A0"/>
      </w:tblPr>
      <w:tblGrid>
        <w:gridCol w:w="4968"/>
        <w:gridCol w:w="4968"/>
      </w:tblGrid>
      <w:tr>
        <w:tc>
          <w:tcPr>
            <w:tcW w:type="dxa" w:w="4968"/>
            <w:tcMar>
              <w:top w:w="50" w:type="dxa"/>
              <w:bottom w:w="50" w:type="dxa"/>
              <w:left w:w="100" w:type="dxa"/>
              <w:right w:w="100" w:type="dxa"/>
            </w:tcMar>
            <w:shd w:fill="F1F5F9"/>
          </w:tcPr>
          <w:p>
            <w:r>
              <w:rPr>
                <w:rFonts w:ascii="Arial" w:hAnsi="Arial"/>
                <w:b/>
                <w:color w:val="1E293B"/>
                <w:sz w:val="16"/>
              </w:rPr>
              <w:t>Código Documental:</w:t>
            </w:r>
          </w:p>
        </w:tc>
        <w:tc>
          <w:tcPr>
            <w:tcW w:type="dxa" w:w="4968"/>
            <w:tcMar>
              <w:top w:w="50" w:type="dxa"/>
              <w:bottom w:w="50" w:type="dxa"/>
              <w:left w:w="100" w:type="dxa"/>
              <w:right w:w="100" w:type="dxa"/>
            </w:tcMar>
            <w:shd w:fill="FFFFFF"/>
          </w:tcPr>
          <w:p>
            <w:r>
              <w:rPr>
                <w:rFonts w:ascii="Arial" w:hAnsi="Arial"/>
                <w:color w:val="0F172A"/>
                <w:sz w:val="16"/>
              </w:rPr>
              <w:t>DOC-DIR-CP2-INF3-FIS301</w:t>
            </w:r>
          </w:p>
        </w:tc>
      </w:tr>
      <w:tr>
        <w:tc>
          <w:tcPr>
            <w:tcW w:type="dxa" w:w="4968"/>
            <w:tcMar>
              <w:top w:w="50" w:type="dxa"/>
              <w:bottom w:w="50" w:type="dxa"/>
              <w:left w:w="100" w:type="dxa"/>
              <w:right w:w="100" w:type="dxa"/>
            </w:tcMar>
            <w:shd w:fill="F1F5F9"/>
          </w:tcPr>
          <w:p>
            <w:r>
              <w:rPr>
                <w:rFonts w:ascii="Arial" w:hAnsi="Arial"/>
                <w:b/>
                <w:color w:val="1E293B"/>
                <w:sz w:val="16"/>
              </w:rPr>
              <w:t>Versión y Vigencia:</w:t>
            </w:r>
          </w:p>
        </w:tc>
        <w:tc>
          <w:tcPr>
            <w:tcW w:type="dxa" w:w="4968"/>
            <w:tcMar>
              <w:top w:w="50" w:type="dxa"/>
              <w:bottom w:w="50" w:type="dxa"/>
              <w:left w:w="100" w:type="dxa"/>
              <w:right w:w="100" w:type="dxa"/>
            </w:tcMar>
            <w:shd w:fill="FFFFFF"/>
          </w:tcPr>
          <w:p>
            <w:r>
              <w:rPr>
                <w:rFonts w:ascii="Arial" w:hAnsi="Arial"/>
                <w:color w:val="0F172A"/>
                <w:sz w:val="16"/>
              </w:rPr>
              <w:t>1.0 (Oficial Aprobado) • Periodo Académico Vigente</w:t>
            </w:r>
          </w:p>
        </w:tc>
      </w:tr>
      <w:tr>
        <w:tc>
          <w:tcPr>
            <w:tcW w:type="dxa" w:w="4968"/>
            <w:tcMar>
              <w:top w:w="50" w:type="dxa"/>
              <w:bottom w:w="50" w:type="dxa"/>
              <w:left w:w="100" w:type="dxa"/>
              <w:right w:w="100" w:type="dxa"/>
            </w:tcMar>
            <w:shd w:fill="F1F5F9"/>
          </w:tcPr>
          <w:p>
            <w:r>
              <w:rPr>
                <w:rFonts w:ascii="Arial" w:hAnsi="Arial"/>
                <w:b/>
                <w:color w:val="1E293B"/>
                <w:sz w:val="16"/>
              </w:rPr>
              <w:t>Norma y Sistema Aplicable:</w:t>
            </w:r>
          </w:p>
        </w:tc>
        <w:tc>
          <w:tcPr>
            <w:tcW w:type="dxa" w:w="4968"/>
            <w:tcMar>
              <w:top w:w="50" w:type="dxa"/>
              <w:bottom w:w="50" w:type="dxa"/>
              <w:left w:w="100" w:type="dxa"/>
              <w:right w:w="100" w:type="dxa"/>
            </w:tcMar>
            <w:shd w:fill="FFFFFF"/>
          </w:tcPr>
          <w:p>
            <w:r>
              <w:rPr>
                <w:rFonts w:ascii="Arial" w:hAnsi="Arial"/>
                <w:color w:val="0F172A"/>
                <w:sz w:val="16"/>
              </w:rPr>
              <w:t>ISO 21001:2018 Cláusula 9.1 (Seguimiento, Medición, Análisis y Evaluación)</w:t>
            </w:r>
          </w:p>
        </w:tc>
      </w:tr>
    </w:tbl>
    <w:p/>
    <w:p>
      <w:r>
        <w:rPr>
          <w:rFonts w:ascii="Arial" w:hAnsi="Arial"/>
          <w:b/>
          <w:color w:val="1E293B"/>
          <w:sz w:val="21"/>
        </w:rPr>
        <w:t>FICHA TÉCNICA DE CALIDAD DE LA MUESTRA</w:t>
      </w:r>
    </w:p>
    <w:tbl>
      <w:tblPr>
        <w:tblW w:type="auto" w:w="0"/>
        <w:jc w:val="center"/>
        <w:tblLayout w:type="fixed"/>
        <w:tblLook w:firstColumn="1" w:firstRow="1" w:lastColumn="0" w:lastRow="0" w:noHBand="0" w:noVBand="1" w:val="04A0"/>
      </w:tblPr>
      <w:tblGrid>
        <w:gridCol w:w="4968"/>
        <w:gridCol w:w="4968"/>
      </w:tblGrid>
      <w:tr>
        <w:tc>
          <w:tcPr>
            <w:tcW w:type="dxa" w:w="4968"/>
            <w:tcMar>
              <w:top w:w="60" w:type="dxa"/>
              <w:bottom w:w="60" w:type="dxa"/>
              <w:left w:w="100" w:type="dxa"/>
              <w:right w:w="100" w:type="dxa"/>
            </w:tcMar>
            <w:shd w:fill="F8FAFC"/>
          </w:tcPr>
          <w:p>
            <w:r>
              <w:rPr>
                <w:rFonts w:ascii="Arial" w:hAnsi="Arial"/>
                <w:color w:val="1E293B"/>
                <w:sz w:val="16"/>
              </w:rPr>
              <w:t>Población Evaluada (N): 12 estudiantes</w:t>
            </w:r>
          </w:p>
        </w:tc>
        <w:tc>
          <w:tcPr>
            <w:tcW w:type="dxa" w:w="4968"/>
            <w:tcMar>
              <w:top w:w="60" w:type="dxa"/>
              <w:bottom w:w="60" w:type="dxa"/>
              <w:left w:w="100" w:type="dxa"/>
              <w:right w:w="100" w:type="dxa"/>
            </w:tcMar>
            <w:shd w:fill="F8FAFC"/>
          </w:tcPr>
          <w:p>
            <w:r>
              <w:rPr>
                <w:rFonts w:ascii="Arial" w:hAnsi="Arial"/>
                <w:color w:val="1E293B"/>
                <w:sz w:val="16"/>
              </w:rPr>
              <w:t>Muestra Analizada (n): 12 registros (100% Cobertura Censal)</w:t>
            </w:r>
          </w:p>
        </w:tc>
      </w:tr>
      <w:tr>
        <w:tc>
          <w:tcPr>
            <w:tcW w:type="dxa" w:w="4968"/>
            <w:tcMar>
              <w:top w:w="60" w:type="dxa"/>
              <w:bottom w:w="60" w:type="dxa"/>
              <w:left w:w="100" w:type="dxa"/>
              <w:right w:w="100" w:type="dxa"/>
            </w:tcMar>
            <w:shd w:fill="F8FAFC"/>
          </w:tcPr>
          <w:p>
            <w:r>
              <w:rPr>
                <w:rFonts w:ascii="Arial" w:hAnsi="Arial"/>
                <w:color w:val="1E293B"/>
                <w:sz w:val="16"/>
              </w:rPr>
              <w:t>Fecha y Hora de Corte: 06/09/2026 20:59</w:t>
            </w:r>
          </w:p>
        </w:tc>
        <w:tc>
          <w:tcPr>
            <w:tcW w:type="dxa" w:w="4968"/>
            <w:tcMar>
              <w:top w:w="60" w:type="dxa"/>
              <w:bottom w:w="60" w:type="dxa"/>
              <w:left w:w="100" w:type="dxa"/>
              <w:right w:w="100" w:type="dxa"/>
            </w:tcMar>
            <w:shd w:fill="F8FAFC"/>
          </w:tcPr>
          <w:p>
            <w:r>
              <w:rPr>
                <w:rFonts w:ascii="Arial" w:hAnsi="Arial"/>
                <w:color w:val="1E293B"/>
                <w:sz w:val="16"/>
              </w:rPr>
              <w:t>Confiabilidad Estadística: Censo Completo • Coeficiente de Spearman ρ</w:t>
            </w:r>
          </w:p>
        </w:tc>
      </w:tr>
    </w:tbl>
    <w:p/>
    <w:p>
      <w:r>
        <w:rPr>
          <w:rFonts w:ascii="Arial" w:hAnsi="Arial"/>
          <w:b/>
          <w:color w:val="1E293B"/>
          <w:sz w:val="21"/>
        </w:rPr>
        <w:t>1. RESUMEN EJECUTIVO Y DIAGNÓSTICO INTEGRAL</w:t>
      </w:r>
    </w:p>
    <w:p>
      <w:r>
        <w:rPr>
          <w:rFonts w:ascii="Arial" w:hAnsi="Arial"/>
          <w:color w:val="0F172A"/>
          <w:sz w:val="18"/>
        </w:rPr>
        <w:t>El grupo de FIS301 muestra una dualidad interesante entre la adopción tecnológica y el compromiso pedagógico. Desde la perspectiva de la Teoría de la Autodeterminación (Deci &amp; Ryan), aquellos estudiantes que utilizan la IA como 'copiloto' muestran una internalización más robusta de la competencia, mientras que el uso tipo 'muleta' enmascara posibles riesgos de outsourcing cognitivo Freireano, donde la herramienta piensa por el estudiante, alienando el proceso de construcción crítica del conocimiento.</w:t>
      </w:r>
    </w:p>
    <w:p>
      <w:r>
        <w:rPr>
          <w:rFonts w:ascii="Arial" w:hAnsi="Arial"/>
          <w:b/>
          <w:color w:val="1E293B"/>
          <w:sz w:val="21"/>
        </w:rPr>
        <w:t>2. INDICADORES CLAVE DE LA CLASE (KPIs)</w:t>
      </w:r>
    </w:p>
    <w:tbl>
      <w:tblPr>
        <w:tblW w:type="auto" w:w="0"/>
        <w:jc w:val="center"/>
        <w:tblLayout w:type="fixed"/>
        <w:tblLook w:firstColumn="1" w:firstRow="1" w:lastColumn="0" w:lastRow="0" w:noHBand="0" w:noVBand="1" w:val="04A0"/>
      </w:tblPr>
      <w:tblGrid>
        <w:gridCol w:w="4968"/>
        <w:gridCol w:w="4968"/>
      </w:tblGrid>
      <w:tr>
        <w:tc>
          <w:tcPr>
            <w:tcW w:type="dxa" w:w="4968"/>
            <w:shd w:fill="1A3A5C"/>
            <w:tcMar>
              <w:top w:w="80" w:type="dxa"/>
              <w:bottom w:w="80" w:type="dxa"/>
              <w:left w:w="100" w:type="dxa"/>
              <w:right w:w="100" w:type="dxa"/>
            </w:tcMar>
          </w:tcPr>
          <w:p>
            <w:r>
              <w:rPr>
                <w:rFonts w:ascii="Arial" w:hAnsi="Arial"/>
                <w:b/>
                <w:color w:val="FFFFFF"/>
                <w:sz w:val="17"/>
              </w:rPr>
              <w:t>Indicador Pedagógico</w:t>
            </w:r>
          </w:p>
        </w:tc>
        <w:tc>
          <w:tcPr>
            <w:tcW w:type="dxa" w:w="4968"/>
            <w:shd w:fill="1A3A5C"/>
            <w:tcMar>
              <w:top w:w="80" w:type="dxa"/>
              <w:bottom w:w="80" w:type="dxa"/>
              <w:left w:w="100" w:type="dxa"/>
              <w:right w:w="100" w:type="dxa"/>
            </w:tcMar>
          </w:tcPr>
          <w:p>
            <w:r>
              <w:rPr>
                <w:rFonts w:ascii="Arial" w:hAnsi="Arial"/>
                <w:b/>
                <w:color w:val="FFFFFF"/>
                <w:sz w:val="17"/>
              </w:rPr>
              <w:t>Valor / Métrica Institucional</w:t>
            </w:r>
          </w:p>
        </w:tc>
      </w:tr>
      <w:tr>
        <w:tc>
          <w:tcPr>
            <w:tcW w:type="dxa" w:w="4968"/>
            <w:shd w:fill="FFFFFF"/>
            <w:tcMar>
              <w:top w:w="70" w:type="dxa"/>
              <w:bottom w:w="70" w:type="dxa"/>
              <w:left w:w="100" w:type="dxa"/>
              <w:right w:w="100" w:type="dxa"/>
            </w:tcMar>
          </w:tcPr>
          <w:p>
            <w:r>
              <w:rPr>
                <w:rFonts w:ascii="Arial" w:hAnsi="Arial"/>
                <w:b w:val="0"/>
                <w:color w:val="0F172A"/>
                <w:sz w:val="17"/>
              </w:rPr>
              <w:t>Promedio General de la Asignatura</w:t>
            </w:r>
          </w:p>
        </w:tc>
        <w:tc>
          <w:tcPr>
            <w:tcW w:type="dxa" w:w="4968"/>
            <w:shd w:fill="FFFFFF"/>
            <w:tcMar>
              <w:top w:w="70" w:type="dxa"/>
              <w:bottom w:w="70" w:type="dxa"/>
              <w:left w:w="100" w:type="dxa"/>
              <w:right w:w="100" w:type="dxa"/>
            </w:tcMar>
          </w:tcPr>
          <w:p>
            <w:r>
              <w:rPr>
                <w:rFonts w:ascii="Arial" w:hAnsi="Arial"/>
                <w:b/>
                <w:color w:val="1E293B"/>
                <w:sz w:val="17"/>
              </w:rPr>
              <w:t>77.4 / 100</w:t>
            </w:r>
          </w:p>
        </w:tc>
      </w:tr>
      <w:tr>
        <w:tc>
          <w:tcPr>
            <w:tcW w:type="dxa" w:w="4968"/>
            <w:shd w:fill="F8FAFC"/>
            <w:tcMar>
              <w:top w:w="70" w:type="dxa"/>
              <w:bottom w:w="70" w:type="dxa"/>
              <w:left w:w="100" w:type="dxa"/>
              <w:right w:w="100" w:type="dxa"/>
            </w:tcMar>
          </w:tcPr>
          <w:p>
            <w:r>
              <w:rPr>
                <w:rFonts w:ascii="Arial" w:hAnsi="Arial"/>
                <w:b w:val="0"/>
                <w:color w:val="0F172A"/>
                <w:sz w:val="17"/>
              </w:rPr>
              <w:t>Estudiantes en Riesgo de Rezago o Abandono</w:t>
            </w:r>
          </w:p>
        </w:tc>
        <w:tc>
          <w:tcPr>
            <w:tcW w:type="dxa" w:w="4968"/>
            <w:shd w:fill="F8FAFC"/>
            <w:tcMar>
              <w:top w:w="70" w:type="dxa"/>
              <w:bottom w:w="70" w:type="dxa"/>
              <w:left w:w="100" w:type="dxa"/>
              <w:right w:w="100" w:type="dxa"/>
            </w:tcMar>
          </w:tcPr>
          <w:p>
            <w:r>
              <w:rPr>
                <w:rFonts w:ascii="Arial" w:hAnsi="Arial"/>
                <w:b/>
                <w:color w:val="1E293B"/>
                <w:sz w:val="17"/>
              </w:rPr>
              <w:t>2 de 12</w:t>
            </w:r>
          </w:p>
        </w:tc>
      </w:tr>
      <w:tr>
        <w:tc>
          <w:tcPr>
            <w:tcW w:type="dxa" w:w="4968"/>
            <w:shd w:fill="FFFFFF"/>
            <w:tcMar>
              <w:top w:w="70" w:type="dxa"/>
              <w:bottom w:w="70" w:type="dxa"/>
              <w:left w:w="100" w:type="dxa"/>
              <w:right w:w="100" w:type="dxa"/>
            </w:tcMar>
          </w:tcPr>
          <w:p>
            <w:r>
              <w:rPr>
                <w:rFonts w:ascii="Arial" w:hAnsi="Arial"/>
                <w:b w:val="0"/>
                <w:color w:val="0F172A"/>
                <w:sz w:val="17"/>
              </w:rPr>
              <w:t>Alertas de Outsourcing Cognitivo (Requieren Triangulación)</w:t>
            </w:r>
          </w:p>
        </w:tc>
        <w:tc>
          <w:tcPr>
            <w:tcW w:type="dxa" w:w="4968"/>
            <w:shd w:fill="FFFFFF"/>
            <w:tcMar>
              <w:top w:w="70" w:type="dxa"/>
              <w:bottom w:w="70" w:type="dxa"/>
              <w:left w:w="100" w:type="dxa"/>
              <w:right w:w="100" w:type="dxa"/>
            </w:tcMar>
          </w:tcPr>
          <w:p>
            <w:r>
              <w:rPr>
                <w:rFonts w:ascii="Arial" w:hAnsi="Arial"/>
                <w:b/>
                <w:color w:val="1E293B"/>
                <w:sz w:val="17"/>
              </w:rPr>
              <w:t>4 casos</w:t>
            </w:r>
          </w:p>
        </w:tc>
      </w:tr>
      <w:tr>
        <w:tc>
          <w:tcPr>
            <w:tcW w:type="dxa" w:w="4968"/>
            <w:shd w:fill="F8FAFC"/>
            <w:tcMar>
              <w:top w:w="70" w:type="dxa"/>
              <w:bottom w:w="70" w:type="dxa"/>
              <w:left w:w="100" w:type="dxa"/>
              <w:right w:w="100" w:type="dxa"/>
            </w:tcMar>
          </w:tcPr>
          <w:p>
            <w:r>
              <w:rPr>
                <w:rFonts w:ascii="Arial" w:hAnsi="Arial"/>
                <w:b w:val="0"/>
                <w:color w:val="0F172A"/>
                <w:sz w:val="17"/>
              </w:rPr>
              <w:t>Estudiantes con Potencial Oculto (Alto Proceso / Nota Media)</w:t>
            </w:r>
          </w:p>
        </w:tc>
        <w:tc>
          <w:tcPr>
            <w:tcW w:type="dxa" w:w="4968"/>
            <w:shd w:fill="F8FAFC"/>
            <w:tcMar>
              <w:top w:w="70" w:type="dxa"/>
              <w:bottom w:w="70" w:type="dxa"/>
              <w:left w:w="100" w:type="dxa"/>
              <w:right w:w="100" w:type="dxa"/>
            </w:tcMar>
          </w:tcPr>
          <w:p>
            <w:r>
              <w:rPr>
                <w:rFonts w:ascii="Arial" w:hAnsi="Arial"/>
                <w:b/>
                <w:color w:val="1E293B"/>
                <w:sz w:val="17"/>
              </w:rPr>
              <w:t>3 casos</w:t>
            </w:r>
          </w:p>
        </w:tc>
      </w:tr>
    </w:tbl>
    <w:p/>
    <w:p>
      <w:r>
        <w:rPr>
          <w:rFonts w:ascii="Arial" w:hAnsi="Arial"/>
          <w:b/>
          <w:color w:val="1E293B"/>
          <w:sz w:val="21"/>
        </w:rPr>
        <w:t>3. DISTRIBUCIÓN ESTADÍSTICA DEL RENDIMIENTO</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_notas.png"/>
                    <pic:cNvPicPr/>
                  </pic:nvPicPr>
                  <pic:blipFill>
                    <a:blip r:embed="rId11"/>
                    <a:stretch>
                      <a:fillRect/>
                    </a:stretch>
                  </pic:blipFill>
                  <pic:spPr>
                    <a:xfrm>
                      <a:off x="0" y="0"/>
                      <a:ext cx="5486400" cy="2743200"/>
                    </a:xfrm>
                    <a:prstGeom prst="rect"/>
                  </pic:spPr>
                </pic:pic>
              </a:graphicData>
            </a:graphic>
          </wp:inline>
        </w:drawing>
      </w:r>
    </w:p>
    <w:p/>
    <w:p>
      <w:r>
        <w:rPr>
          <w:rFonts w:ascii="Arial" w:hAnsi="Arial"/>
          <w:b/>
          <w:color w:val="1E293B"/>
          <w:sz w:val="21"/>
        </w:rPr>
        <w:t>4. RIGOR MATEMÁTICO Y ANÁLISIS DE DISTRIBUCIÓN</w:t>
      </w:r>
    </w:p>
    <w:tbl>
      <w:tblPr>
        <w:tblW w:type="auto" w:w="0"/>
        <w:jc w:val="center"/>
        <w:tblLayout w:type="fixed"/>
        <w:tblLook w:firstColumn="1" w:firstRow="1" w:lastColumn="0" w:lastRow="0" w:noHBand="0" w:noVBand="1" w:val="04A0"/>
      </w:tblPr>
      <w:tblGrid>
        <w:gridCol w:w="4968"/>
        <w:gridCol w:w="4968"/>
      </w:tblGrid>
      <w:tr>
        <w:tc>
          <w:tcPr>
            <w:tcW w:type="dxa" w:w="4968"/>
            <w:shd w:fill="1A3A5C"/>
            <w:tcMar>
              <w:top w:w="80" w:type="dxa"/>
              <w:bottom w:w="80" w:type="dxa"/>
              <w:left w:w="100" w:type="dxa"/>
              <w:right w:w="100" w:type="dxa"/>
            </w:tcMar>
          </w:tcPr>
          <w:p>
            <w:r>
              <w:rPr>
                <w:rFonts w:ascii="Arial" w:hAnsi="Arial"/>
                <w:b/>
                <w:color w:val="FFFFFF"/>
                <w:sz w:val="17"/>
              </w:rPr>
              <w:t>Parámetro / Prueba Estadística</w:t>
            </w:r>
          </w:p>
        </w:tc>
        <w:tc>
          <w:tcPr>
            <w:tcW w:type="dxa" w:w="4968"/>
            <w:shd w:fill="1A3A5C"/>
            <w:tcMar>
              <w:top w:w="80" w:type="dxa"/>
              <w:bottom w:w="80" w:type="dxa"/>
              <w:left w:w="100" w:type="dxa"/>
              <w:right w:w="100" w:type="dxa"/>
            </w:tcMar>
          </w:tcPr>
          <w:p>
            <w:r>
              <w:rPr>
                <w:rFonts w:ascii="Arial" w:hAnsi="Arial"/>
                <w:b/>
                <w:color w:val="FFFFFF"/>
                <w:sz w:val="17"/>
              </w:rPr>
              <w:t>Resultado y Diagnóstico Formal</w:t>
            </w:r>
          </w:p>
        </w:tc>
      </w:tr>
      <w:tr>
        <w:tc>
          <w:tcPr>
            <w:tcW w:type="dxa" w:w="4968"/>
            <w:shd w:fill="FFFFFF"/>
            <w:tcMar>
              <w:top w:w="70" w:type="dxa"/>
              <w:bottom w:w="70" w:type="dxa"/>
              <w:left w:w="100" w:type="dxa"/>
              <w:right w:w="100" w:type="dxa"/>
            </w:tcMar>
          </w:tcPr>
          <w:p>
            <w:r>
              <w:rPr>
                <w:rFonts w:ascii="Arial" w:hAnsi="Arial"/>
                <w:b/>
                <w:color w:val="1E293B"/>
                <w:sz w:val="16"/>
              </w:rPr>
              <w:t>Media Aritmética (x̄)</w:t>
            </w:r>
          </w:p>
        </w:tc>
        <w:tc>
          <w:tcPr>
            <w:tcW w:type="dxa" w:w="4968"/>
            <w:shd w:fill="FFFFFF"/>
            <w:tcMar>
              <w:top w:w="70" w:type="dxa"/>
              <w:bottom w:w="70" w:type="dxa"/>
              <w:left w:w="100" w:type="dxa"/>
              <w:right w:w="100" w:type="dxa"/>
            </w:tcMar>
          </w:tcPr>
          <w:p>
            <w:r>
              <w:rPr>
                <w:rFonts w:ascii="Arial" w:hAnsi="Arial"/>
                <w:b w:val="0"/>
                <w:color w:val="0F172A"/>
                <w:sz w:val="16"/>
              </w:rPr>
              <w:t>77.4 / 100</w:t>
            </w:r>
          </w:p>
        </w:tc>
      </w:tr>
      <w:tr>
        <w:tc>
          <w:tcPr>
            <w:tcW w:type="dxa" w:w="4968"/>
            <w:shd w:fill="F8FAFC"/>
            <w:tcMar>
              <w:top w:w="70" w:type="dxa"/>
              <w:bottom w:w="70" w:type="dxa"/>
              <w:left w:w="100" w:type="dxa"/>
              <w:right w:w="100" w:type="dxa"/>
            </w:tcMar>
          </w:tcPr>
          <w:p>
            <w:r>
              <w:rPr>
                <w:rFonts w:ascii="Arial" w:hAnsi="Arial"/>
                <w:b/>
                <w:color w:val="1E293B"/>
                <w:sz w:val="16"/>
              </w:rPr>
              <w:t>Mediana Muestral (Me)</w:t>
            </w:r>
          </w:p>
        </w:tc>
        <w:tc>
          <w:tcPr>
            <w:tcW w:type="dxa" w:w="4968"/>
            <w:shd w:fill="F8FAFC"/>
            <w:tcMar>
              <w:top w:w="70" w:type="dxa"/>
              <w:bottom w:w="70" w:type="dxa"/>
              <w:left w:w="100" w:type="dxa"/>
              <w:right w:w="100" w:type="dxa"/>
            </w:tcMar>
          </w:tcPr>
          <w:p>
            <w:r>
              <w:rPr>
                <w:rFonts w:ascii="Arial" w:hAnsi="Arial"/>
                <w:b w:val="0"/>
                <w:color w:val="0F172A"/>
                <w:sz w:val="16"/>
              </w:rPr>
              <w:t>0 / 100</w:t>
            </w:r>
          </w:p>
        </w:tc>
      </w:tr>
      <w:tr>
        <w:tc>
          <w:tcPr>
            <w:tcW w:type="dxa" w:w="4968"/>
            <w:shd w:fill="FFFFFF"/>
            <w:tcMar>
              <w:top w:w="70" w:type="dxa"/>
              <w:bottom w:w="70" w:type="dxa"/>
              <w:left w:w="100" w:type="dxa"/>
              <w:right w:w="100" w:type="dxa"/>
            </w:tcMar>
          </w:tcPr>
          <w:p>
            <w:r>
              <w:rPr>
                <w:rFonts w:ascii="Arial" w:hAnsi="Arial"/>
                <w:b/>
                <w:color w:val="1E293B"/>
                <w:sz w:val="16"/>
              </w:rPr>
              <w:t>Desviación Estándar (s)</w:t>
            </w:r>
          </w:p>
        </w:tc>
        <w:tc>
          <w:tcPr>
            <w:tcW w:type="dxa" w:w="4968"/>
            <w:shd w:fill="FFFFFF"/>
            <w:tcMar>
              <w:top w:w="70" w:type="dxa"/>
              <w:bottom w:w="70" w:type="dxa"/>
              <w:left w:w="100" w:type="dxa"/>
              <w:right w:w="100" w:type="dxa"/>
            </w:tcMar>
          </w:tcPr>
          <w:p>
            <w:r>
              <w:rPr>
                <w:rFonts w:ascii="Arial" w:hAnsi="Arial"/>
                <w:b w:val="0"/>
                <w:color w:val="0F172A"/>
                <w:sz w:val="16"/>
              </w:rPr>
              <w:t>6.8</w:t>
            </w:r>
          </w:p>
        </w:tc>
      </w:tr>
      <w:tr>
        <w:tc>
          <w:tcPr>
            <w:tcW w:type="dxa" w:w="4968"/>
            <w:shd w:fill="F8FAFC"/>
            <w:tcMar>
              <w:top w:w="70" w:type="dxa"/>
              <w:bottom w:w="70" w:type="dxa"/>
              <w:left w:w="100" w:type="dxa"/>
              <w:right w:w="100" w:type="dxa"/>
            </w:tcMar>
          </w:tcPr>
          <w:p>
            <w:r>
              <w:rPr>
                <w:rFonts w:ascii="Arial" w:hAnsi="Arial"/>
                <w:b/>
                <w:color w:val="1E293B"/>
                <w:sz w:val="16"/>
              </w:rPr>
              <w:t>Coeficiente de Asimetría (g1 - Fisher)</w:t>
            </w:r>
          </w:p>
        </w:tc>
        <w:tc>
          <w:tcPr>
            <w:tcW w:type="dxa" w:w="4968"/>
            <w:shd w:fill="F8FAFC"/>
            <w:tcMar>
              <w:top w:w="70" w:type="dxa"/>
              <w:bottom w:w="70" w:type="dxa"/>
              <w:left w:w="100" w:type="dxa"/>
              <w:right w:w="100" w:type="dxa"/>
            </w:tcMar>
          </w:tcPr>
          <w:p>
            <w:r>
              <w:rPr>
                <w:rFonts w:ascii="Arial" w:hAnsi="Arial"/>
                <w:b w:val="0"/>
                <w:color w:val="0F172A"/>
                <w:sz w:val="16"/>
              </w:rPr>
              <w:t>0 ()</w:t>
            </w:r>
          </w:p>
        </w:tc>
      </w:tr>
      <w:tr>
        <w:tc>
          <w:tcPr>
            <w:tcW w:type="dxa" w:w="4968"/>
            <w:shd w:fill="FFFFFF"/>
            <w:tcMar>
              <w:top w:w="70" w:type="dxa"/>
              <w:bottom w:w="70" w:type="dxa"/>
              <w:left w:w="100" w:type="dxa"/>
              <w:right w:w="100" w:type="dxa"/>
            </w:tcMar>
          </w:tcPr>
          <w:p>
            <w:r>
              <w:rPr>
                <w:rFonts w:ascii="Arial" w:hAnsi="Arial"/>
                <w:b/>
                <w:color w:val="1E293B"/>
                <w:sz w:val="16"/>
              </w:rPr>
              <w:t>Curtosis Muestral (g2 - Fisher)</w:t>
            </w:r>
          </w:p>
        </w:tc>
        <w:tc>
          <w:tcPr>
            <w:tcW w:type="dxa" w:w="4968"/>
            <w:shd w:fill="FFFFFF"/>
            <w:tcMar>
              <w:top w:w="70" w:type="dxa"/>
              <w:bottom w:w="70" w:type="dxa"/>
              <w:left w:w="100" w:type="dxa"/>
              <w:right w:w="100" w:type="dxa"/>
            </w:tcMar>
          </w:tcPr>
          <w:p>
            <w:r>
              <w:rPr>
                <w:rFonts w:ascii="Arial" w:hAnsi="Arial"/>
                <w:b w:val="0"/>
                <w:color w:val="0F172A"/>
                <w:sz w:val="16"/>
              </w:rPr>
              <w:t>0 ()</w:t>
            </w:r>
          </w:p>
        </w:tc>
      </w:tr>
      <w:tr>
        <w:tc>
          <w:tcPr>
            <w:tcW w:type="dxa" w:w="4968"/>
            <w:shd w:fill="F8FAFC"/>
            <w:tcMar>
              <w:top w:w="70" w:type="dxa"/>
              <w:bottom w:w="70" w:type="dxa"/>
              <w:left w:w="100" w:type="dxa"/>
              <w:right w:w="100" w:type="dxa"/>
            </w:tcMar>
          </w:tcPr>
          <w:p>
            <w:r>
              <w:rPr>
                <w:rFonts w:ascii="Arial" w:hAnsi="Arial"/>
                <w:b/>
                <w:color w:val="1E293B"/>
                <w:sz w:val="16"/>
              </w:rPr>
              <w:t>Correlación de Spearman Asistencia-Rendimiento (ρ)</w:t>
            </w:r>
          </w:p>
        </w:tc>
        <w:tc>
          <w:tcPr>
            <w:tcW w:type="dxa" w:w="4968"/>
            <w:shd w:fill="F8FAFC"/>
            <w:tcMar>
              <w:top w:w="70" w:type="dxa"/>
              <w:bottom w:w="70" w:type="dxa"/>
              <w:left w:w="100" w:type="dxa"/>
              <w:right w:w="100" w:type="dxa"/>
            </w:tcMar>
          </w:tcPr>
          <w:p>
            <w:r>
              <w:rPr>
                <w:rFonts w:ascii="Arial" w:hAnsi="Arial"/>
                <w:b w:val="0"/>
                <w:color w:val="0F172A"/>
                <w:sz w:val="16"/>
              </w:rPr>
              <w:t>0 (No paramétrica)</w:t>
            </w:r>
          </w:p>
        </w:tc>
      </w:tr>
      <w:tr>
        <w:tc>
          <w:tcPr>
            <w:tcW w:type="dxa" w:w="4968"/>
            <w:shd w:fill="FFFFFF"/>
            <w:tcMar>
              <w:top w:w="70" w:type="dxa"/>
              <w:bottom w:w="70" w:type="dxa"/>
              <w:left w:w="100" w:type="dxa"/>
              <w:right w:w="100" w:type="dxa"/>
            </w:tcMar>
          </w:tcPr>
          <w:p>
            <w:r>
              <w:rPr>
                <w:rFonts w:ascii="Arial" w:hAnsi="Arial"/>
                <w:b/>
                <w:color w:val="1E293B"/>
                <w:sz w:val="16"/>
              </w:rPr>
              <w:t>Correlación de Spearman Sudor Intelectual-Rendimiento (ρ)</w:t>
            </w:r>
          </w:p>
        </w:tc>
        <w:tc>
          <w:tcPr>
            <w:tcW w:type="dxa" w:w="4968"/>
            <w:shd w:fill="FFFFFF"/>
            <w:tcMar>
              <w:top w:w="70" w:type="dxa"/>
              <w:bottom w:w="70" w:type="dxa"/>
              <w:left w:w="100" w:type="dxa"/>
              <w:right w:w="100" w:type="dxa"/>
            </w:tcMar>
          </w:tcPr>
          <w:p>
            <w:r>
              <w:rPr>
                <w:rFonts w:ascii="Arial" w:hAnsi="Arial"/>
                <w:b w:val="0"/>
                <w:color w:val="0F172A"/>
                <w:sz w:val="16"/>
              </w:rPr>
              <w:t>0 (Medición de Proceso)</w:t>
            </w:r>
          </w:p>
        </w:tc>
      </w:tr>
    </w:tbl>
    <w:p/>
    <w:p>
      <w:r>
        <w:rPr>
          <w:rFonts w:ascii="Arial" w:hAnsi="Arial"/>
          <w:b/>
          <w:color w:val="1E293B"/>
          <w:sz w:val="21"/>
        </w:rPr>
        <w:t>5. ALERTAS PEDAGÓGICAS Y DIAGNÓSTICO DE ENFOQUE HUMANO</w:t>
      </w:r>
    </w:p>
    <w:p>
      <w:r>
        <w:rPr>
          <w:rFonts w:ascii="Arial" w:hAnsi="Arial"/>
          <w:color w:val="0F172A"/>
          <w:sz w:val="17"/>
        </w:rPr>
        <w:t>• Ausentismo recurrente en la Sesión 3 que impacta el desempeño en evaluaciones subsecuentes.</w:t>
      </w:r>
    </w:p>
    <w:p>
      <w:r>
        <w:rPr>
          <w:rFonts w:ascii="Arial" w:hAnsi="Arial"/>
          <w:color w:val="0F172A"/>
          <w:sz w:val="17"/>
        </w:rPr>
        <w:t>• Dependencia crítica de la IA como muleta cognitiva en estudiantes con bajo volumen de iteración pero alto rendimiento en proyectos.</w:t>
      </w:r>
    </w:p>
    <w:p>
      <w:r>
        <w:rPr>
          <w:rFonts w:ascii="Arial" w:hAnsi="Arial"/>
          <w:b/>
          <w:sz w:val="16"/>
        </w:rPr>
        <w:t>Fundamentación Epistémica:</w:t>
        <w:br/>
      </w:r>
      <w:r>
        <w:rPr>
          <w:rFonts w:ascii="Arial" w:hAnsi="Arial"/>
          <w:sz w:val="16"/>
        </w:rPr>
        <w:t>• Autodeterminación (Deci &amp; Ryan): Autonomía=7.8/10, Competencia=7.2/10, Relación=7.5/10.</w:t>
        <w:br/>
      </w:r>
      <w:r>
        <w:rPr>
          <w:rFonts w:ascii="Arial" w:hAnsi="Arial"/>
          <w:sz w:val="16"/>
        </w:rPr>
        <w:t>• Zona de Desarrollo Próximo (Vygotsky): La Zona de Desarrollo Próximo (ZDP) del grupo evidencia una brecha entre la ejecución algorítmica superficial asistida por IA y la comprensión conceptual profunda de los principios cuánticos. Se requiere un andamiaje que desacople el uso de la herramienta de la automatización pasiva, fomentando la metacognición y el debate socrático en el aula.</w:t>
        <w:br/>
      </w:r>
      <w:r>
        <w:rPr>
          <w:rFonts w:ascii="Arial" w:hAnsi="Arial"/>
          <w:sz w:val="16"/>
        </w:rPr>
        <w:t>• Pedagogía Crítica (Freire): Triangulación Socrática activada para validar autoría auténtica y erradicar la simulación pasiva.</w:t>
      </w:r>
    </w:p>
    <w:p/>
    <w:p>
      <w:r>
        <w:rPr>
          <w:rFonts w:ascii="Arial" w:hAnsi="Arial"/>
          <w:b/>
          <w:color w:val="1E293B"/>
          <w:sz w:val="21"/>
        </w:rPr>
        <w:t>6. MATRIZ DE PRESCRIPCIÓN Y ACCIONES EN 3 NIVELES INSTITUCIONALES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A3A5C"/>
            <w:tcMar>
              <w:top w:w="80" w:type="dxa"/>
              <w:bottom w:w="80" w:type="dxa"/>
              <w:left w:w="80" w:type="dxa"/>
              <w:right w:w="80" w:type="dxa"/>
            </w:tcMar>
          </w:tcPr>
          <w:p>
            <w:pPr>
              <w:jc w:val="center"/>
            </w:pPr>
            <w:r>
              <w:rPr>
                <w:rFonts w:ascii="Arial" w:hAnsi="Arial"/>
                <w:b/>
                <w:color w:val="FFFFFF"/>
                <w:sz w:val="16"/>
              </w:rPr>
              <w:t>Nivel de Gestión</w:t>
            </w:r>
          </w:p>
        </w:tc>
        <w:tc>
          <w:tcPr>
            <w:tcW w:type="dxa" w:w="3312"/>
            <w:shd w:fill="1A3A5C"/>
            <w:tcMar>
              <w:top w:w="80" w:type="dxa"/>
              <w:bottom w:w="80" w:type="dxa"/>
              <w:left w:w="80" w:type="dxa"/>
              <w:right w:w="80" w:type="dxa"/>
            </w:tcMar>
          </w:tcPr>
          <w:p>
            <w:pPr>
              <w:jc w:val="center"/>
            </w:pPr>
            <w:r>
              <w:rPr>
                <w:rFonts w:ascii="Arial" w:hAnsi="Arial"/>
                <w:b/>
                <w:color w:val="FFFFFF"/>
                <w:sz w:val="16"/>
              </w:rPr>
              <w:t>Acción Pedagógica / Prescripción</w:t>
            </w:r>
          </w:p>
        </w:tc>
        <w:tc>
          <w:tcPr>
            <w:tcW w:type="dxa" w:w="3312"/>
            <w:shd w:fill="1A3A5C"/>
            <w:tcMar>
              <w:top w:w="80" w:type="dxa"/>
              <w:bottom w:w="80" w:type="dxa"/>
              <w:left w:w="80" w:type="dxa"/>
              <w:right w:w="80" w:type="dxa"/>
            </w:tcMar>
          </w:tcPr>
          <w:p>
            <w:pPr>
              <w:jc w:val="center"/>
            </w:pPr>
            <w:r>
              <w:rPr>
                <w:rFonts w:ascii="Arial" w:hAnsi="Arial"/>
                <w:b/>
                <w:color w:val="FFFFFF"/>
                <w:sz w:val="16"/>
              </w:rPr>
              <w:t>Evidencia de Cumplimiento</w:t>
            </w:r>
          </w:p>
        </w:tc>
      </w:tr>
      <w:tr>
        <w:tc>
          <w:tcPr>
            <w:tcW w:type="dxa" w:w="3312"/>
            <w:shd w:fill="FFFFFF"/>
            <w:tcMar>
              <w:top w:w="70" w:type="dxa"/>
              <w:bottom w:w="70" w:type="dxa"/>
              <w:left w:w="80" w:type="dxa"/>
              <w:right w:w="80" w:type="dxa"/>
            </w:tcMar>
          </w:tcPr>
          <w:p>
            <w:r>
              <w:rPr>
                <w:rFonts w:ascii="Arial" w:hAnsi="Arial"/>
                <w:b/>
                <w:color w:val="1E293B"/>
                <w:sz w:val="16"/>
              </w:rPr>
              <w:t>Nivel 1: Aula (Docente Titular)</w:t>
            </w:r>
          </w:p>
        </w:tc>
        <w:tc>
          <w:tcPr>
            <w:tcW w:type="dxa" w:w="3312"/>
            <w:shd w:fill="FFFFFF"/>
            <w:tcMar>
              <w:top w:w="70" w:type="dxa"/>
              <w:bottom w:w="70" w:type="dxa"/>
              <w:left w:w="80" w:type="dxa"/>
              <w:right w:w="80" w:type="dxa"/>
            </w:tcMar>
          </w:tcPr>
          <w:p>
            <w:r>
              <w:rPr>
                <w:rFonts w:ascii="Arial" w:hAnsi="Arial"/>
                <w:color w:val="0F172A"/>
                <w:sz w:val="16"/>
              </w:rPr>
              <w:t>Aplicar andamiaje diferenciado en ZDP a casos en riesgo; ejecutar Triangulación Socrática a estudiantes con alerta de outsourcing.</w:t>
            </w:r>
          </w:p>
        </w:tc>
        <w:tc>
          <w:tcPr>
            <w:tcW w:type="dxa" w:w="3312"/>
            <w:shd w:fill="FFFFFF"/>
            <w:tcMar>
              <w:top w:w="70" w:type="dxa"/>
              <w:bottom w:w="70" w:type="dxa"/>
              <w:left w:w="80" w:type="dxa"/>
              <w:right w:w="80" w:type="dxa"/>
            </w:tcMar>
          </w:tcPr>
          <w:p>
            <w:r>
              <w:rPr>
                <w:rFonts w:ascii="Arial" w:hAnsi="Arial"/>
                <w:color w:val="64748B"/>
                <w:sz w:val="16"/>
              </w:rPr>
              <w:t>Actas de Triangulación Socrática y registros de Sudor Intelectual.</w:t>
            </w:r>
          </w:p>
        </w:tc>
      </w:tr>
      <w:tr>
        <w:tc>
          <w:tcPr>
            <w:tcW w:type="dxa" w:w="3312"/>
            <w:shd w:fill="F8FAFC"/>
            <w:tcMar>
              <w:top w:w="70" w:type="dxa"/>
              <w:bottom w:w="70" w:type="dxa"/>
              <w:left w:w="80" w:type="dxa"/>
              <w:right w:w="80" w:type="dxa"/>
            </w:tcMar>
          </w:tcPr>
          <w:p>
            <w:r>
              <w:rPr>
                <w:rFonts w:ascii="Arial" w:hAnsi="Arial"/>
                <w:b/>
                <w:color w:val="1E293B"/>
                <w:sz w:val="16"/>
              </w:rPr>
              <w:t>Nivel 2: Tutoría / Bienestar</w:t>
            </w:r>
          </w:p>
        </w:tc>
        <w:tc>
          <w:tcPr>
            <w:tcW w:type="dxa" w:w="3312"/>
            <w:shd w:fill="F8FAFC"/>
            <w:tcMar>
              <w:top w:w="70" w:type="dxa"/>
              <w:bottom w:w="70" w:type="dxa"/>
              <w:left w:w="80" w:type="dxa"/>
              <w:right w:w="80" w:type="dxa"/>
            </w:tcMar>
          </w:tcPr>
          <w:p>
            <w:r>
              <w:rPr>
                <w:rFonts w:ascii="Arial" w:hAnsi="Arial"/>
                <w:color w:val="0F172A"/>
                <w:sz w:val="16"/>
              </w:rPr>
              <w:t>Acompañamiento psicopedagógico y seguimiento a estudiantes con ausentismo o brechas situacionales en conectividad/empleo.</w:t>
            </w:r>
          </w:p>
        </w:tc>
        <w:tc>
          <w:tcPr>
            <w:tcW w:type="dxa" w:w="3312"/>
            <w:shd w:fill="F8FAFC"/>
            <w:tcMar>
              <w:top w:w="70" w:type="dxa"/>
              <w:bottom w:w="70" w:type="dxa"/>
              <w:left w:w="80" w:type="dxa"/>
              <w:right w:w="80" w:type="dxa"/>
            </w:tcMar>
          </w:tcPr>
          <w:p>
            <w:r>
              <w:rPr>
                <w:rFonts w:ascii="Arial" w:hAnsi="Arial"/>
                <w:color w:val="64748B"/>
                <w:sz w:val="16"/>
              </w:rPr>
              <w:t>Ficha Socioeducativa de Contexto y bitácora de tutorías.</w:t>
            </w:r>
          </w:p>
        </w:tc>
      </w:tr>
      <w:tr>
        <w:tc>
          <w:tcPr>
            <w:tcW w:type="dxa" w:w="3312"/>
            <w:shd w:fill="FFFFFF"/>
            <w:tcMar>
              <w:top w:w="70" w:type="dxa"/>
              <w:bottom w:w="70" w:type="dxa"/>
              <w:left w:w="80" w:type="dxa"/>
              <w:right w:w="80" w:type="dxa"/>
            </w:tcMar>
          </w:tcPr>
          <w:p>
            <w:r>
              <w:rPr>
                <w:rFonts w:ascii="Arial" w:hAnsi="Arial"/>
                <w:b/>
                <w:color w:val="1E293B"/>
                <w:sz w:val="16"/>
              </w:rPr>
              <w:t>Nivel 3: Coordinación Académica</w:t>
            </w:r>
          </w:p>
        </w:tc>
        <w:tc>
          <w:tcPr>
            <w:tcW w:type="dxa" w:w="3312"/>
            <w:shd w:fill="FFFFFF"/>
            <w:tcMar>
              <w:top w:w="70" w:type="dxa"/>
              <w:bottom w:w="70" w:type="dxa"/>
              <w:left w:w="80" w:type="dxa"/>
              <w:right w:w="80" w:type="dxa"/>
            </w:tcMar>
          </w:tcPr>
          <w:p>
            <w:r>
              <w:rPr>
                <w:rFonts w:ascii="Arial" w:hAnsi="Arial"/>
                <w:color w:val="0F172A"/>
                <w:sz w:val="16"/>
              </w:rPr>
              <w:t>Supervisar el alineamiento constructivo entre rúbricas CBL y evidencias, asegurando los créditos SCT y horas de trabajo autónomo.</w:t>
            </w:r>
          </w:p>
        </w:tc>
        <w:tc>
          <w:tcPr>
            <w:tcW w:type="dxa" w:w="3312"/>
            <w:shd w:fill="FFFFFF"/>
            <w:tcMar>
              <w:top w:w="70" w:type="dxa"/>
              <w:bottom w:w="70" w:type="dxa"/>
              <w:left w:w="80" w:type="dxa"/>
              <w:right w:w="80" w:type="dxa"/>
            </w:tcMar>
          </w:tcPr>
          <w:p>
            <w:r>
              <w:rPr>
                <w:rFonts w:ascii="Arial" w:hAnsi="Arial"/>
                <w:color w:val="64748B"/>
                <w:sz w:val="16"/>
              </w:rPr>
              <w:t>Plan de Aprendizaje Modular oficial y auditoría de portafolios.</w:t>
            </w:r>
          </w:p>
        </w:tc>
      </w:tr>
    </w:tbl>
    <w:p/>
    <w:p>
      <w:r>
        <w:rPr>
          <w:rFonts w:ascii="Arial" w:hAnsi="Arial"/>
          <w:b/>
          <w:color w:val="1E293B"/>
          <w:sz w:val="21"/>
        </w:rPr>
        <w:t>7. FIRMAS DE APROBACIÓN Y CIERRE DE CALIDAD (ISO 21001)</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250" w:type="dxa"/>
              <w:bottom w:w="50" w:type="dxa"/>
              <w:left w:w="50" w:type="dxa"/>
              <w:right w:w="50" w:type="dxa"/>
            </w:tcMar>
            <w:shd w:fill="FAFAFA"/>
          </w:tcPr>
          <w:p>
            <w:pPr>
              <w:jc w:val="center"/>
            </w:pPr>
            <w:r>
              <w:rPr>
                <w:rFonts w:ascii="Arial" w:hAnsi="Arial"/>
                <w:color w:val="64748B"/>
                <w:sz w:val="15"/>
              </w:rPr>
              <w:t>____________________________</w:t>
              <w:br/>
              <w:t>Firma y Sello</w:t>
            </w:r>
          </w:p>
        </w:tc>
        <w:tc>
          <w:tcPr>
            <w:tcW w:type="dxa" w:w="3312"/>
            <w:tcMar>
              <w:top w:w="250" w:type="dxa"/>
              <w:bottom w:w="50" w:type="dxa"/>
              <w:left w:w="50" w:type="dxa"/>
              <w:right w:w="50" w:type="dxa"/>
            </w:tcMar>
            <w:shd w:fill="FAFAFA"/>
          </w:tcPr>
          <w:p>
            <w:pPr>
              <w:jc w:val="center"/>
            </w:pPr>
            <w:r>
              <w:rPr>
                <w:rFonts w:ascii="Arial" w:hAnsi="Arial"/>
                <w:color w:val="64748B"/>
                <w:sz w:val="15"/>
              </w:rPr>
              <w:t>____________________________</w:t>
              <w:br/>
              <w:t>Firma y Sello</w:t>
            </w:r>
          </w:p>
        </w:tc>
        <w:tc>
          <w:tcPr>
            <w:tcW w:type="dxa" w:w="3312"/>
            <w:tcMar>
              <w:top w:w="250" w:type="dxa"/>
              <w:bottom w:w="50" w:type="dxa"/>
              <w:left w:w="50" w:type="dxa"/>
              <w:right w:w="50" w:type="dxa"/>
            </w:tcMar>
            <w:shd w:fill="FAFAFA"/>
          </w:tcPr>
          <w:p>
            <w:pPr>
              <w:jc w:val="center"/>
            </w:pPr>
            <w:r>
              <w:rPr>
                <w:rFonts w:ascii="Arial" w:hAnsi="Arial"/>
                <w:color w:val="64748B"/>
                <w:sz w:val="15"/>
              </w:rPr>
              <w:t>____________________________</w:t>
              <w:br/>
              <w:t>Firma y Sello</w:t>
            </w:r>
          </w:p>
        </w:tc>
      </w:tr>
      <w:tr>
        <w:tc>
          <w:tcPr>
            <w:tcW w:type="dxa" w:w="3312"/>
            <w:tcMar>
              <w:top w:w="40" w:type="dxa"/>
              <w:bottom w:w="60" w:type="dxa"/>
              <w:left w:w="50" w:type="dxa"/>
              <w:right w:w="50" w:type="dxa"/>
            </w:tcMar>
            <w:shd w:fill="F1F5F9"/>
          </w:tcPr>
          <w:p>
            <w:pPr>
              <w:jc w:val="center"/>
            </w:pPr>
            <w:r>
              <w:rPr>
                <w:rFonts w:ascii="Arial" w:hAnsi="Arial"/>
                <w:b/>
                <w:color w:val="1E293B"/>
                <w:sz w:val="16"/>
              </w:rPr>
              <w:t>DOCENTE TITULAR</w:t>
              <w:br/>
            </w:r>
            <w:r>
              <w:rPr>
                <w:rFonts w:ascii="Arial" w:hAnsi="Arial"/>
                <w:color w:val="64748B"/>
                <w:sz w:val="14"/>
              </w:rPr>
              <w:t>(Elaboración y diagnóstico analítico)</w:t>
            </w:r>
          </w:p>
        </w:tc>
        <w:tc>
          <w:tcPr>
            <w:tcW w:type="dxa" w:w="3312"/>
            <w:tcMar>
              <w:top w:w="40" w:type="dxa"/>
              <w:bottom w:w="60" w:type="dxa"/>
              <w:left w:w="50" w:type="dxa"/>
              <w:right w:w="50" w:type="dxa"/>
            </w:tcMar>
            <w:shd w:fill="F1F5F9"/>
          </w:tcPr>
          <w:p>
            <w:pPr>
              <w:jc w:val="center"/>
            </w:pPr>
            <w:r>
              <w:rPr>
                <w:rFonts w:ascii="Arial" w:hAnsi="Arial"/>
                <w:b/>
                <w:color w:val="1E293B"/>
                <w:sz w:val="16"/>
              </w:rPr>
              <w:t>COORDINACIÓN DE CARRERA</w:t>
              <w:br/>
            </w:r>
            <w:r>
              <w:rPr>
                <w:rFonts w:ascii="Arial" w:hAnsi="Arial"/>
                <w:color w:val="64748B"/>
                <w:sz w:val="14"/>
              </w:rPr>
              <w:t>(Revisión y pertinencia pedagógica)</w:t>
            </w:r>
          </w:p>
        </w:tc>
        <w:tc>
          <w:tcPr>
            <w:tcW w:type="dxa" w:w="3312"/>
            <w:tcMar>
              <w:top w:w="40" w:type="dxa"/>
              <w:bottom w:w="60" w:type="dxa"/>
              <w:left w:w="50" w:type="dxa"/>
              <w:right w:w="50" w:type="dxa"/>
            </w:tcMar>
            <w:shd w:fill="F1F5F9"/>
          </w:tcPr>
          <w:p>
            <w:pPr>
              <w:jc w:val="center"/>
            </w:pPr>
            <w:r>
              <w:rPr>
                <w:rFonts w:ascii="Arial" w:hAnsi="Arial"/>
                <w:b/>
                <w:color w:val="1E293B"/>
                <w:sz w:val="16"/>
              </w:rPr>
              <w:t>DIRECCIÓN ACADÉMICA / DECANATO</w:t>
              <w:br/>
            </w:r>
            <w:r>
              <w:rPr>
                <w:rFonts w:ascii="Arial" w:hAnsi="Arial"/>
                <w:color w:val="64748B"/>
                <w:sz w:val="14"/>
              </w:rPr>
              <w:t>(Aprobación y certificación oficial)</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Carpeta Pedagógica 2.0 • Sistema de Analítica de Aprendizaje &amp; Aseguramiento de Calidad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INFORME ANALÍTICO DE APRENDIZAJE • DOC-DIR-CP2-INF3-FIS301 • ISO 21001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