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Profesional de Analítica Educativa</w:t>
      </w:r>
    </w:p>
    <w:p>
      <w:pPr>
        <w:pStyle w:val="Heading1"/>
      </w:pPr>
      <w:r>
        <w:t>Materia: INV101 - Introduccion a la Investigacion</w:t>
      </w:r>
    </w:p>
    <w:p>
      <w:pPr>
        <w:pStyle w:val="Heading2"/>
      </w:pPr>
      <w:r>
        <w:t>1. Resumen Ejecutivo y Diagnóstico</w:t>
      </w:r>
    </w:p>
    <w:p>
      <w:r>
        <w:t>El grupo de INV101 - Introduccion a la Investigacion presenta un promedio de 72.6/100 (Mediana: 70.6) con desviación estándar de 17.4. Asimetría de Fisher: -0.56 (Asimetría Negativa: Concentración en notas altas (sesgo a la izquierda).). Se identifican 3 casos en riesgo y 3 alertas de outsourcing cognitivo.</w:t>
      </w:r>
    </w:p>
    <w:p>
      <w:pPr>
        <w:pStyle w:val="Heading2"/>
      </w:pPr>
      <w:r>
        <w:t>2. Indicadores Clave de la Clase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Promedio General</w:t>
            </w:r>
          </w:p>
        </w:tc>
        <w:tc>
          <w:tcPr>
            <w:tcW w:type="dxa" w:w="4320"/>
          </w:tcPr>
          <w:p>
            <w:r>
              <w:t>72.6 / 100</w:t>
            </w:r>
          </w:p>
        </w:tc>
      </w:tr>
      <w:tr>
        <w:tc>
          <w:tcPr>
            <w:tcW w:type="dxa" w:w="4320"/>
          </w:tcPr>
          <w:p>
            <w:r>
              <w:t>Estudiantes en Riesgo</w:t>
            </w:r>
          </w:p>
        </w:tc>
        <w:tc>
          <w:tcPr>
            <w:tcW w:type="dxa" w:w="4320"/>
          </w:tcPr>
          <w:p>
            <w:r>
              <w:t>3 / 25</w:t>
            </w:r>
          </w:p>
        </w:tc>
      </w:tr>
      <w:tr>
        <w:tc>
          <w:tcPr>
            <w:tcW w:type="dxa" w:w="4320"/>
          </w:tcPr>
          <w:p>
            <w:r>
              <w:t>Alertas de Outsourcing Cognitivo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Casos con Potencial Oculto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p>
      <w:pPr>
        <w:pStyle w:val="Heading2"/>
      </w:pPr>
      <w:r>
        <w:t>3. Distribución Estadística del Rendimiento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no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Rigor Matemático y Análisis de Distribución</w:t>
      </w:r>
    </w:p>
    <w:p>
      <w:r>
        <w:t>Evaluación estadística avanzada para verificar supuestos de normalidad, asimetría de notas y correlaciones no paramétricas: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Parámetro / Prueba Estadística</w:t>
            </w:r>
          </w:p>
        </w:tc>
        <w:tc>
          <w:tcPr>
            <w:tcW w:type="dxa" w:w="4320"/>
          </w:tcPr>
          <w:p>
            <w:r>
              <w:t>Resultado y Diagnóstico</w:t>
            </w:r>
          </w:p>
        </w:tc>
      </w:tr>
      <w:tr>
        <w:tc>
          <w:tcPr>
            <w:tcW w:type="dxa" w:w="4320"/>
          </w:tcPr>
          <w:p>
            <w:r>
              <w:t>Media Aritmética (x̄)</w:t>
            </w:r>
          </w:p>
        </w:tc>
        <w:tc>
          <w:tcPr>
            <w:tcW w:type="dxa" w:w="4320"/>
          </w:tcPr>
          <w:p>
            <w:r>
              <w:t>72.6 / 100</w:t>
            </w:r>
          </w:p>
        </w:tc>
      </w:tr>
      <w:tr>
        <w:tc>
          <w:tcPr>
            <w:tcW w:type="dxa" w:w="4320"/>
          </w:tcPr>
          <w:p>
            <w:r>
              <w:t>Mediana Muestral</w:t>
            </w:r>
          </w:p>
        </w:tc>
        <w:tc>
          <w:tcPr>
            <w:tcW w:type="dxa" w:w="4320"/>
          </w:tcPr>
          <w:p>
            <w:r>
              <w:t>70.6 / 100</w:t>
            </w:r>
          </w:p>
        </w:tc>
      </w:tr>
      <w:tr>
        <w:tc>
          <w:tcPr>
            <w:tcW w:type="dxa" w:w="4320"/>
          </w:tcPr>
          <w:p>
            <w:r>
              <w:t>Desviación Estándar Muestral (s)</w:t>
            </w:r>
          </w:p>
        </w:tc>
        <w:tc>
          <w:tcPr>
            <w:tcW w:type="dxa" w:w="4320"/>
          </w:tcPr>
          <w:p>
            <w:r>
              <w:t>17.4</w:t>
            </w:r>
          </w:p>
        </w:tc>
      </w:tr>
      <w:tr>
        <w:tc>
          <w:tcPr>
            <w:tcW w:type="dxa" w:w="4320"/>
          </w:tcPr>
          <w:p>
            <w:r>
              <w:t>Coeficiente de Asimetría (g1 - Fisher-Pearson)</w:t>
            </w:r>
          </w:p>
        </w:tc>
        <w:tc>
          <w:tcPr>
            <w:tcW w:type="dxa" w:w="4320"/>
          </w:tcPr>
          <w:p>
            <w:r>
              <w:t>-0.56 (Asimetría Negativa: Concentración en notas altas (sesgo a la izquierda).)</w:t>
            </w:r>
          </w:p>
        </w:tc>
      </w:tr>
      <w:tr>
        <w:tc>
          <w:tcPr>
            <w:tcW w:type="dxa" w:w="4320"/>
          </w:tcPr>
          <w:p>
            <w:r>
              <w:t>Curtosis Muestral (g2 - Fisher)</w:t>
            </w:r>
          </w:p>
        </w:tc>
        <w:tc>
          <w:tcPr>
            <w:tcW w:type="dxa" w:w="4320"/>
          </w:tcPr>
          <w:p>
            <w:r>
              <w:t>0.11 (Mesocúrtica: Dispersión moderada equivalente a normalidad.)</w:t>
            </w:r>
          </w:p>
        </w:tc>
      </w:tr>
      <w:tr>
        <w:tc>
          <w:tcPr>
            <w:tcW w:type="dxa" w:w="4320"/>
          </w:tcPr>
          <w:p>
            <w:r>
              <w:t>Correlación de Spearman Asistencia-Rendimiento (ρ)</w:t>
            </w:r>
          </w:p>
        </w:tc>
        <w:tc>
          <w:tcPr>
            <w:tcW w:type="dxa" w:w="4320"/>
          </w:tcPr>
          <w:p>
            <w:r>
              <w:t>0.57 (No paramétrica)</w:t>
            </w:r>
          </w:p>
        </w:tc>
      </w:tr>
      <w:tr>
        <w:tc>
          <w:tcPr>
            <w:tcW w:type="dxa" w:w="4320"/>
          </w:tcPr>
          <w:p>
            <w:r>
              <w:t>Correlación de Spearman Sudor Intelectual-Rendimiento (ρ)</w:t>
            </w:r>
          </w:p>
        </w:tc>
        <w:tc>
          <w:tcPr>
            <w:tcW w:type="dxa" w:w="4320"/>
          </w:tcPr>
          <w:p>
            <w:r>
              <w:t>0.25 (Medición de Proceso)</w:t>
            </w:r>
          </w:p>
        </w:tc>
      </w:tr>
    </w:tbl>
    <w:p>
      <w:pPr>
        <w:pStyle w:val="Heading2"/>
      </w:pPr>
      <w:r>
        <w:t>5. Alertas Pedagógicas y Enfoque Humano</w:t>
      </w:r>
    </w:p>
    <w:p>
      <w:r>
        <w:t>• 3 estudiantes con alerta de Outsourcing Cognitivo (requieren Triangulación Socrática).</w:t>
      </w:r>
    </w:p>
    <w:p>
      <w:r>
        <w:t>• 3 estudiantes clasificados en riesgo de rezago o abandono.</w:t>
      </w:r>
    </w:p>
    <w:p>
      <w:r>
        <w:t>• 7 estudiantes con alto proceso pero notas moderadas (Potencial Oculto).</w:t>
      </w:r>
    </w:p>
    <w:p>
      <w:r>
        <w:t>• Diagnóstico de Forma: Asimetría Negativa: Concentración en notas altas (sesgo a la izquierda). (Asimetría g1 = -0.56).</w:t>
      </w:r>
    </w:p>
    <w:p>
      <w:pPr>
        <w:pStyle w:val="Heading2"/>
      </w:pPr>
      <w:r>
        <w:t>6. Marco Teórico Aplicado</w:t>
      </w:r>
    </w:p>
    <w:p>
      <w:r>
        <w:t>• Autodeterminación (Deci &amp; Ryan): Autonomía=6.2/10, Competencia=5.9/10, Relación=6.4/10.</w:t>
      </w:r>
    </w:p>
    <w:p>
      <w:r>
        <w:t>• Zona de Desarrollo Próximo (Vygotsky): 3 estudiantes requieren andamiaje urgente; 7 con potencial oculto detectado.</w:t>
      </w:r>
    </w:p>
    <w:p>
      <w:r>
        <w:t>• Pedagogía Crítica (Freire): Triangulación Socrática implementada para validar autoría y desarrollo de músculo intelectual propio.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