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45309"/>
          <w:sz w:val="17"/>
        </w:rPr>
        <w:t>SISTEMA DE GESTIÓN CURRICULAR • EDUCACIÓN SUPERIOR Y FORMACIÓN CIENTÍFICA</w:t>
        <w:br/>
      </w:r>
      <w:r>
        <w:rPr>
          <w:b/>
          <w:color w:val="0F172A"/>
          <w:sz w:val="32"/>
        </w:rPr>
        <w:t>PLAN DE APRENDIZAJE MODULAR POR COMPETENCIAS (CBL)</w:t>
      </w:r>
    </w:p>
    <w:p/>
    <w:p>
      <w:r>
        <w:rPr>
          <w:b/>
          <w:color w:val="1E293B"/>
          <w:sz w:val="22"/>
        </w:rPr>
        <w:t>1. DATOS GENERALES DEL MÓDULO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b/>
                <w:color w:val="1E293B"/>
                <w:sz w:val="19"/>
              </w:rPr>
              <w:t>Código: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INV101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b/>
                <w:color w:val="1E293B"/>
                <w:sz w:val="19"/>
              </w:rPr>
              <w:t>Asignatura / Módulo: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INV101 - Introduccion a la Investigacion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b/>
                <w:color w:val="1E293B"/>
                <w:sz w:val="19"/>
              </w:rPr>
              <w:t>Docente Titular: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Docente Titular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b/>
                <w:color w:val="1E293B"/>
                <w:sz w:val="19"/>
              </w:rPr>
              <w:t>Carga Horaria: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80 horas académicas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b/>
                <w:color w:val="1E293B"/>
                <w:sz w:val="19"/>
              </w:rPr>
              <w:t>Periodo / Módulo: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Módulo 1 - 2026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b/>
                <w:color w:val="1E293B"/>
                <w:sz w:val="19"/>
              </w:rPr>
              <w:t>Modalidad: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Semipresencial / Aula Invertida</w:t>
            </w:r>
          </w:p>
        </w:tc>
      </w:tr>
    </w:tbl>
    <w:p/>
    <w:p>
      <w:r>
        <w:rPr>
          <w:b/>
          <w:color w:val="1E293B"/>
          <w:sz w:val="22"/>
        </w:rPr>
        <w:t>2. COMPETENCIA GLOBAL Y PROBLEMATIZACIÓN DEL CONTEXTO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b/>
                <w:color w:val="1E293B"/>
                <w:sz w:val="19"/>
              </w:rPr>
              <w:t>Problema del Contexto: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Outsourcing cognitivo y desinformacion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b/>
                <w:color w:val="1E293B"/>
                <w:sz w:val="19"/>
              </w:rPr>
              <w:t>Competencia Global del Módulo: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Formular problemas de investigación y diseñar proyectos científicos aplicando el rigor metodológico, pensamiento crítico y ética epistémica para dar respuesta a necesidades sociales.</w:t>
            </w:r>
          </w:p>
        </w:tc>
      </w:tr>
    </w:tbl>
    <w:p/>
    <w:p>
      <w:r>
        <w:rPr>
          <w:b/>
          <w:color w:val="1E293B"/>
          <w:sz w:val="22"/>
        </w:rPr>
        <w:t>3. DESARROLLO MODULAR POR FASES Y HITOS DE APRENDIZAJE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Fase / Semana</w:t>
            </w:r>
          </w:p>
        </w:tc>
        <w:tc>
          <w:tcPr>
            <w:tcW w:type="dxa" w:w="1560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Saber (Conceptual)</w:t>
            </w:r>
          </w:p>
        </w:tc>
        <w:tc>
          <w:tcPr>
            <w:tcW w:type="dxa" w:w="1560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Hacer (Procedimental)</w:t>
            </w:r>
          </w:p>
        </w:tc>
        <w:tc>
          <w:tcPr>
            <w:tcW w:type="dxa" w:w="1560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Ser y Convivir (Actitudinal)</w:t>
            </w:r>
          </w:p>
        </w:tc>
        <w:tc>
          <w:tcPr>
            <w:tcW w:type="dxa" w:w="1560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Sudor Intelectual (Evidencia)</w:t>
            </w:r>
          </w:p>
        </w:tc>
        <w:tc>
          <w:tcPr>
            <w:tcW w:type="dxa" w:w="1560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Criterio de Evaluación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Semana 1:</w:t>
              <w:br/>
              <w:t>Epistemología y Pregunta de Investigación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Paradigmas de investigación (cuantitativo, cualitativo y mixto). Estructura del objeto de estudio.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Delimitación temática y formulación del problema científico mediante mapas conceptuales.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Honestidad intelectual, curiosidad científica y ética en el uso de fuentes bibliográficas.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Bitácora de iteración de ideas y contraste entre 5 formulaciones preliminares del problema.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Formulación de pregunta de investigación con variables observables y justificación sólida.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Semana 2:</w:t>
              <w:br/>
              <w:t>Estado del Arte y Marco Teórico Crítico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Búsqueda sistemática en bases indexadas (Scielo, Scopus, Redalyc). Normas de citación APA 7ma.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Elaboración de matriz de antecedentes y síntesis analítica de 10 fuentes primarias.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Rigor analítico frente a la desinformación y discernimiento crítico ante síntesis de IA.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Matriz comparativa de autores construida activamente sin automatizaciones pasivas.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Síntesis teórica articulada con postura crítica propia del autor.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Semana 3:</w:t>
              <w:br/>
              <w:t>Diseño Metodológico e Instrumentos de Campo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Tipos y diseños de investigación, muestreo y técnicas de recolección de información.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Construcción y validación por juicio de expertos de una guía de entrevista o cuestionario.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Respeto al consentimiento informado y confidencialidad en el tratamiento de datos.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Prueba piloto del instrumento de recolección y diario de campo metodológico.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Coherencia interna entre objetivos, variables/categorías y técnicas de recolección.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Semana 4:</w:t>
              <w:br/>
              <w:t>Integración y Defensa del Perfil de Investigación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Estructura formal del informe de perfil de investigación y comunicación científica.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Redacción final del perfil y sustentación oral socrática ante tribunal de pares.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Compromiso deontológico y responsabilidad social del investigador novel.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Defensa verbal individual del documento validando autoría y comprensión profunda.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Perfil completo y sustentación oral rigurosa con dominio conceptual de las decisiones tomadas.</w:t>
            </w:r>
          </w:p>
        </w:tc>
      </w:tr>
    </w:tbl>
    <w:p/>
    <w:p>
      <w:r>
        <w:rPr>
          <w:b/>
          <w:color w:val="1E293B"/>
          <w:sz w:val="22"/>
        </w:rPr>
        <w:t>4. ENFOQUE HUMANO: INCLUSIÓN (DUA) Y RIGOR EPISTÉMICO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1F5F9"/>
          </w:tcPr>
          <w:p>
            <w:r>
              <w:rPr>
                <w:b/>
                <w:color w:val="1E293B"/>
                <w:sz w:val="19"/>
              </w:rPr>
              <w:t>Diseño Universal para el Aprendizaje (DUA) y Adecuaciones: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. Múltiples medios de representación (diagramas metodológicos, grabaciones) y evaluación flexible por hitos.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1F5F9"/>
          </w:tcPr>
          <w:p>
            <w:r>
              <w:rPr>
                <w:b/>
                <w:color w:val="1E293B"/>
                <w:sz w:val="19"/>
              </w:rPr>
              <w:t>Estrategia Anti-Outsourcing y Triangulación Socrática: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Triangulación Socrática obligatoria mediante coloquio oral individual de 10 minutos para defender el proceso de diseño metodológico.</w:t>
            </w:r>
          </w:p>
        </w:tc>
      </w:tr>
    </w:tbl>
    <w:p/>
    <w:p>
      <w:r>
        <w:rPr>
          <w:b/>
          <w:color w:val="1E293B"/>
          <w:sz w:val="22"/>
        </w:rPr>
        <w:t>5. PRODUCTO FINAL INTEGRADOR DEL MÓDULO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EF3C7"/>
          </w:tcPr>
          <w:p>
            <w:r>
              <w:rPr>
                <w:b/>
                <w:color w:val="B45309"/>
                <w:sz w:val="19"/>
              </w:rPr>
              <w:t>Evidencia Auténtica Integradora: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Perfil de Investigación Científica defendido oralmente con evidencia de proceso.</w:t>
            </w:r>
          </w:p>
        </w:tc>
      </w:tr>
    </w:tbl>
    <w:p/>
    <w:p>
      <w:pPr>
        <w:jc w:val="right"/>
      </w:pPr>
      <w:r>
        <w:rPr>
          <w:i/>
          <w:color w:val="64748B"/>
          <w:sz w:val="15"/>
        </w:rPr>
        <w:t>Generado automáticamente por el Motor de Planificación Modular • Carpeta Pedagógica 2.0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