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B45309"/>
          <w:sz w:val="17"/>
        </w:rPr>
        <w:t>SISTEMA DE GESTIÓN CURRICULAR • EDUCACIÓN SUPERIOR Y FORMACIÓN CIENTÍFICA</w:t>
        <w:br/>
      </w:r>
      <w:r>
        <w:rPr>
          <w:rFonts w:ascii="Arial" w:hAnsi="Arial"/>
          <w:b/>
          <w:color w:val="1A3A5C"/>
          <w:sz w:val="32"/>
        </w:rPr>
        <w:t>PLAN DE APRENDIZAJE MODULAR POR COMPETENCIAS (CBL)</w:t>
      </w:r>
    </w:p>
    <w:p>
      <w:pPr>
        <w:jc w:val="center"/>
      </w:pPr>
      <w:r>
        <w:rPr>
          <w:rFonts w:ascii="Arial" w:hAnsi="Arial"/>
          <w:i/>
          <w:color w:val="64748B"/>
          <w:sz w:val="18"/>
        </w:rPr>
        <w:t>Diseño Curricular Inverso (UbD) • Evidencias Auténticas • Enfoque Inclusivo DUA • ISO 21001:2018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tcMar>
              <w:top w:w="60" w:type="dxa"/>
              <w:bottom w:w="60" w:type="dxa"/>
              <w:left w:w="100" w:type="dxa"/>
              <w:right w:w="100" w:type="dxa"/>
            </w:tcMar>
            <w:shd w:fill="F1F5F9"/>
          </w:tcPr>
          <w:p>
            <w:r>
              <w:rPr>
                <w:rFonts w:ascii="Arial" w:hAnsi="Arial"/>
                <w:b/>
                <w:color w:val="1E293B"/>
                <w:sz w:val="17"/>
              </w:rPr>
              <w:t>Código Institucional:</w:t>
            </w:r>
          </w:p>
        </w:tc>
        <w:tc>
          <w:tcPr>
            <w:tcW w:type="dxa" w:w="4968"/>
            <w:tcMar>
              <w:top w:w="60" w:type="dxa"/>
              <w:bottom w:w="60" w:type="dxa"/>
              <w:left w:w="100" w:type="dxa"/>
              <w:right w:w="100" w:type="dxa"/>
            </w:tcMar>
            <w:shd w:fill="FFFFFF"/>
          </w:tcPr>
          <w:p>
            <w:r>
              <w:t>DOC-DIR-CP2-PDC-INV101</w:t>
            </w:r>
          </w:p>
        </w:tc>
      </w:tr>
      <w:tr>
        <w:tc>
          <w:tcPr>
            <w:tcW w:type="dxa" w:w="4968"/>
            <w:tcMar>
              <w:top w:w="60" w:type="dxa"/>
              <w:bottom w:w="60" w:type="dxa"/>
              <w:left w:w="100" w:type="dxa"/>
              <w:right w:w="100" w:type="dxa"/>
            </w:tcMar>
            <w:shd w:fill="F1F5F9"/>
          </w:tcPr>
          <w:p>
            <w:r>
              <w:rPr>
                <w:rFonts w:ascii="Arial" w:hAnsi="Arial"/>
                <w:b/>
                <w:color w:val="1E293B"/>
                <w:sz w:val="17"/>
              </w:rPr>
              <w:t>Versión Documental Vigente:</w:t>
            </w:r>
          </w:p>
        </w:tc>
        <w:tc>
          <w:tcPr>
            <w:tcW w:type="dxa" w:w="4968"/>
            <w:tcMar>
              <w:top w:w="60" w:type="dxa"/>
              <w:bottom w:w="6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b w:val="0"/>
                <w:color w:val="0F172A"/>
                <w:sz w:val="17"/>
              </w:rPr>
              <w:t>1.0 (Oficial Aprobado)</w:t>
            </w:r>
          </w:p>
        </w:tc>
      </w:tr>
      <w:tr>
        <w:tc>
          <w:tcPr>
            <w:tcW w:type="dxa" w:w="4968"/>
            <w:tcMar>
              <w:top w:w="60" w:type="dxa"/>
              <w:bottom w:w="60" w:type="dxa"/>
              <w:left w:w="100" w:type="dxa"/>
              <w:right w:w="100" w:type="dxa"/>
            </w:tcMar>
            <w:shd w:fill="F1F5F9"/>
          </w:tcPr>
          <w:p>
            <w:r>
              <w:rPr>
                <w:rFonts w:ascii="Arial" w:hAnsi="Arial"/>
                <w:b/>
                <w:color w:val="1E293B"/>
                <w:sz w:val="17"/>
              </w:rPr>
              <w:t>Marco Normativo / Sistema:</w:t>
            </w:r>
          </w:p>
        </w:tc>
        <w:tc>
          <w:tcPr>
            <w:tcW w:type="dxa" w:w="4968"/>
            <w:tcMar>
              <w:top w:w="60" w:type="dxa"/>
              <w:bottom w:w="6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b w:val="0"/>
                <w:color w:val="0F172A"/>
                <w:sz w:val="17"/>
              </w:rPr>
              <w:t>ISO 21001:2018 (EOMS) Cláusula 7.5 • Información Documentada</w:t>
            </w:r>
          </w:p>
        </w:tc>
      </w:tr>
      <w:tr>
        <w:tc>
          <w:tcPr>
            <w:tcW w:type="dxa" w:w="4968"/>
            <w:tcMar>
              <w:top w:w="60" w:type="dxa"/>
              <w:bottom w:w="60" w:type="dxa"/>
              <w:left w:w="100" w:type="dxa"/>
              <w:right w:w="100" w:type="dxa"/>
            </w:tcMar>
            <w:shd w:fill="F1F5F9"/>
          </w:tcPr>
          <w:p>
            <w:r>
              <w:rPr>
                <w:rFonts w:ascii="Arial" w:hAnsi="Arial"/>
                <w:b/>
                <w:color w:val="1E293B"/>
                <w:sz w:val="17"/>
              </w:rPr>
              <w:t>Vigencia Académica:</w:t>
            </w:r>
          </w:p>
        </w:tc>
        <w:tc>
          <w:tcPr>
            <w:tcW w:type="dxa" w:w="4968"/>
            <w:tcMar>
              <w:top w:w="60" w:type="dxa"/>
              <w:bottom w:w="60" w:type="dxa"/>
              <w:left w:w="100" w:type="dxa"/>
              <w:right w:w="100" w:type="dxa"/>
            </w:tcMar>
            <w:shd w:fill="FFFFFF"/>
          </w:tcPr>
          <w:p>
            <w:r>
              <w:t>Módulo 1 - 2026 • Semestre Académico Oficial</w:t>
            </w:r>
          </w:p>
        </w:tc>
      </w:tr>
    </w:tbl>
    <w:p/>
    <w:p>
      <w:r>
        <w:rPr>
          <w:rFonts w:ascii="Arial" w:hAnsi="Arial"/>
          <w:b/>
          <w:color w:val="1E293B"/>
          <w:sz w:val="22"/>
        </w:rPr>
        <w:t>1. DATOS GENERALES DEL MÓDULO Y DISTRIBUCIÓN HORARIA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jc w:val="left"/>
            </w:pPr>
            <w:r>
              <w:rPr>
                <w:rFonts w:ascii="Arial" w:hAnsi="Arial"/>
                <w:b/>
                <w:color w:val="1E293B"/>
                <w:sz w:val="17"/>
              </w:rPr>
              <w:t>Código: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jc w:val="left"/>
            </w:pPr>
            <w:r>
              <w:t>INV101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jc w:val="left"/>
            </w:pPr>
            <w:r>
              <w:rPr>
                <w:rFonts w:ascii="Arial" w:hAnsi="Arial"/>
                <w:b/>
                <w:color w:val="1E293B"/>
                <w:sz w:val="17"/>
              </w:rPr>
              <w:t>Asignatura / Módulo: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jc w:val="left"/>
            </w:pPr>
            <w:r>
              <w:t>INV101 - Introduccion a la Investigacion</w:t>
            </w:r>
          </w:p>
        </w:tc>
      </w:tr>
      <w:tr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jc w:val="left"/>
            </w:pPr>
            <w:r>
              <w:rPr>
                <w:rFonts w:ascii="Arial" w:hAnsi="Arial"/>
                <w:b/>
                <w:color w:val="1E293B"/>
                <w:sz w:val="17"/>
              </w:rPr>
              <w:t>Docente Titular: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jc w:val="left"/>
            </w:pPr>
            <w:r>
              <w:t>Lic. / Dr. Docente Titular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jc w:val="left"/>
            </w:pPr>
            <w:r>
              <w:rPr>
                <w:rFonts w:ascii="Arial" w:hAnsi="Arial"/>
                <w:b/>
                <w:color w:val="1E293B"/>
                <w:sz w:val="17"/>
              </w:rPr>
              <w:t>Periodo / Módulo: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jc w:val="left"/>
            </w:pPr>
            <w:r>
              <w:t>Módulo 1 - 2026</w:t>
            </w:r>
          </w:p>
        </w:tc>
      </w:tr>
      <w:tr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jc w:val="left"/>
            </w:pPr>
            <w:r>
              <w:rPr>
                <w:rFonts w:ascii="Arial" w:hAnsi="Arial"/>
                <w:b/>
                <w:color w:val="1E293B"/>
                <w:sz w:val="17"/>
              </w:rPr>
              <w:t>Modalidad: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jc w:val="left"/>
            </w:pPr>
            <w:r>
              <w:t>Semipresencial / Aula Invertida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jc w:val="left"/>
            </w:pPr>
            <w:r>
              <w:rPr>
                <w:rFonts w:ascii="Arial" w:hAnsi="Arial"/>
                <w:b/>
                <w:color w:val="1E293B"/>
                <w:sz w:val="17"/>
              </w:rPr>
              <w:t>Carga Horaria Total: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jc w:val="left"/>
            </w:pPr>
            <w:r>
              <w:t>80 horas académicas</w:t>
            </w:r>
          </w:p>
        </w:tc>
      </w:tr>
      <w:tr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jc w:val="left"/>
            </w:pPr>
            <w:r>
              <w:rPr>
                <w:rFonts w:ascii="Arial" w:hAnsi="Arial"/>
                <w:b/>
                <w:color w:val="1E293B"/>
                <w:sz w:val="17"/>
              </w:rPr>
              <w:t>Horas Presenciales/Sincrónicas: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jc w:val="left"/>
            </w:pPr>
            <w:r>
              <w:t>48 horas presenciales / sincrónicas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jc w:val="left"/>
            </w:pPr>
            <w:r>
              <w:rPr>
                <w:rFonts w:ascii="Arial" w:hAnsi="Arial"/>
                <w:b/>
                <w:color w:val="1E293B"/>
                <w:sz w:val="17"/>
              </w:rPr>
              <w:t>Horas Autónomas / Créditos: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jc w:val="left"/>
            </w:pPr>
            <w:r>
              <w:t>32 horas de trabajo autónomo • 3 Créditos SCT / ECTS</w:t>
            </w:r>
          </w:p>
        </w:tc>
      </w:tr>
    </w:tbl>
    <w:p/>
    <w:p>
      <w:r>
        <w:rPr>
          <w:rFonts w:ascii="Arial" w:hAnsi="Arial"/>
          <w:b/>
          <w:color w:val="1E293B"/>
          <w:sz w:val="22"/>
        </w:rPr>
        <w:t>2. COMPETENCIA GLOBAL Y PROBLEMATIZACIÓN DEL CONTEXTO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Arial" w:hAnsi="Arial"/>
                <w:b/>
                <w:color w:val="1E293B"/>
                <w:sz w:val="18"/>
              </w:rPr>
              <w:t>Problema del Contexto Real:</w:t>
            </w:r>
          </w:p>
        </w:tc>
        <w:tc>
          <w:tcPr>
            <w:tcW w:type="dxa" w:w="4968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r>
              <w:t>Riesgo de outsourcing cognitivo y uso acrítico de IA en formulación de investigaciones.</w:t>
            </w:r>
          </w:p>
        </w:tc>
      </w:tr>
      <w:tr>
        <w:tc>
          <w:tcPr>
            <w:tcW w:type="dxa" w:w="4968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Arial" w:hAnsi="Arial"/>
                <w:b/>
                <w:color w:val="1E293B"/>
                <w:sz w:val="18"/>
              </w:rPr>
              <w:t>Competencia Global del Módulo:</w:t>
            </w:r>
          </w:p>
        </w:tc>
        <w:tc>
          <w:tcPr>
            <w:tcW w:type="dxa" w:w="4968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r>
              <w:t>Formular problemas de investigación y diseñar proyectos científicos aplicando el rigor metodológico, pensamiento crítico y ética epistémica para dar respuesta a necesidades sociales.</w:t>
            </w:r>
          </w:p>
        </w:tc>
      </w:tr>
    </w:tbl>
    <w:p/>
    <w:p>
      <w:r>
        <w:rPr>
          <w:rFonts w:ascii="Arial" w:hAnsi="Arial"/>
          <w:b/>
          <w:color w:val="1E293B"/>
          <w:sz w:val="22"/>
        </w:rPr>
        <w:t>3. DESARROLLO MODULAR POR FASES Y HITOS DE APRENDIZAJE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shd w:fill="0F172A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Fase / Semana</w:t>
            </w:r>
          </w:p>
        </w:tc>
        <w:tc>
          <w:tcPr>
            <w:tcW w:type="dxa" w:w="1656"/>
            <w:shd w:fill="0F172A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Saber (Conceptual)</w:t>
            </w:r>
          </w:p>
        </w:tc>
        <w:tc>
          <w:tcPr>
            <w:tcW w:type="dxa" w:w="1656"/>
            <w:shd w:fill="0F172A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Hacer (Procedimental)</w:t>
            </w:r>
          </w:p>
        </w:tc>
        <w:tc>
          <w:tcPr>
            <w:tcW w:type="dxa" w:w="1656"/>
            <w:shd w:fill="0F172A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Ser y Convivir (Actitudinal)</w:t>
            </w:r>
          </w:p>
        </w:tc>
        <w:tc>
          <w:tcPr>
            <w:tcW w:type="dxa" w:w="1656"/>
            <w:shd w:fill="0F172A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Sudor Intelectual (Evidencia)</w:t>
            </w:r>
          </w:p>
        </w:tc>
        <w:tc>
          <w:tcPr>
            <w:tcW w:type="dxa" w:w="1656"/>
            <w:shd w:fill="0F172A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Criterio de Evaluación</w:t>
            </w:r>
          </w:p>
        </w:tc>
      </w:tr>
      <w:tr>
        <w:tc>
          <w:tcPr>
            <w:tcW w:type="dxa" w:w="1656"/>
            <w:shd w:fill="FFFFFF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t>Semana 1:</w:t>
              <w:br/>
              <w:t>Epistemología y Pregunta de Investigación</w:t>
            </w:r>
          </w:p>
        </w:tc>
        <w:tc>
          <w:tcPr>
            <w:tcW w:type="dxa" w:w="1656"/>
            <w:shd w:fill="FFFFFF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t>Paradigmas de investigación (cuantitativo, cualitativo y mixto). Estructura del objeto de estudio.</w:t>
            </w:r>
          </w:p>
        </w:tc>
        <w:tc>
          <w:tcPr>
            <w:tcW w:type="dxa" w:w="1656"/>
            <w:shd w:fill="FFFFFF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t>Delimitación temática y formulación del problema científico mediante mapas conceptuales.</w:t>
            </w:r>
          </w:p>
        </w:tc>
        <w:tc>
          <w:tcPr>
            <w:tcW w:type="dxa" w:w="1656"/>
            <w:shd w:fill="FFFFFF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t>Honestidad intelectual, curiosidad científica y ética en el uso de fuentes bibliográficas.</w:t>
            </w:r>
          </w:p>
        </w:tc>
        <w:tc>
          <w:tcPr>
            <w:tcW w:type="dxa" w:w="1656"/>
            <w:shd w:fill="FFFFFF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t>Bitácora de iteración de ideas y contraste entre 5 formulaciones preliminares del problema.</w:t>
            </w:r>
          </w:p>
        </w:tc>
        <w:tc>
          <w:tcPr>
            <w:tcW w:type="dxa" w:w="1656"/>
            <w:shd w:fill="FFFFFF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t>Formulación de pregunta de investigación con variables observables y justificación sólida.</w:t>
            </w:r>
          </w:p>
        </w:tc>
      </w:tr>
      <w:tr>
        <w:tc>
          <w:tcPr>
            <w:tcW w:type="dxa" w:w="1656"/>
            <w:shd w:fill="F8FAFC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t>Semana 2:</w:t>
              <w:br/>
              <w:t>Estado del Arte y Marco Teórico Crítico</w:t>
            </w:r>
          </w:p>
        </w:tc>
        <w:tc>
          <w:tcPr>
            <w:tcW w:type="dxa" w:w="1656"/>
            <w:shd w:fill="F8FAFC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t>Búsqueda sistemática en bases indexadas (Scielo, Scopus, Redalyc). Normas de citación APA 7ma.</w:t>
            </w:r>
          </w:p>
        </w:tc>
        <w:tc>
          <w:tcPr>
            <w:tcW w:type="dxa" w:w="1656"/>
            <w:shd w:fill="F8FAFC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t>Elaboración de matriz de antecedentes y síntesis analítica de 10 fuentes primarias.</w:t>
            </w:r>
          </w:p>
        </w:tc>
        <w:tc>
          <w:tcPr>
            <w:tcW w:type="dxa" w:w="1656"/>
            <w:shd w:fill="F8FAFC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t>Rigor analítico frente a la desinformación y discernimiento crítico ante síntesis de IA.</w:t>
            </w:r>
          </w:p>
        </w:tc>
        <w:tc>
          <w:tcPr>
            <w:tcW w:type="dxa" w:w="1656"/>
            <w:shd w:fill="F8FAFC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t>Matriz comparativa de autores construida activamente sin automatizaciones pasivas.</w:t>
            </w:r>
          </w:p>
        </w:tc>
        <w:tc>
          <w:tcPr>
            <w:tcW w:type="dxa" w:w="1656"/>
            <w:shd w:fill="F8FAFC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t>Síntesis teórica articulada con postura crítica propia del autor.</w:t>
            </w:r>
          </w:p>
        </w:tc>
      </w:tr>
      <w:tr>
        <w:tc>
          <w:tcPr>
            <w:tcW w:type="dxa" w:w="1656"/>
            <w:shd w:fill="FFFFFF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t>Semana 3:</w:t>
              <w:br/>
              <w:t>Diseño Metodológico e Instrumentos de Campo</w:t>
            </w:r>
          </w:p>
        </w:tc>
        <w:tc>
          <w:tcPr>
            <w:tcW w:type="dxa" w:w="1656"/>
            <w:shd w:fill="FFFFFF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t>Tipos y diseños de investigación, muestreo y técnicas de recolección de información.</w:t>
            </w:r>
          </w:p>
        </w:tc>
        <w:tc>
          <w:tcPr>
            <w:tcW w:type="dxa" w:w="1656"/>
            <w:shd w:fill="FFFFFF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t>Construcción y validación por juicio de expertos de una guía de entrevista o cuestionario.</w:t>
            </w:r>
          </w:p>
        </w:tc>
        <w:tc>
          <w:tcPr>
            <w:tcW w:type="dxa" w:w="1656"/>
            <w:shd w:fill="FFFFFF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t>Respeto al consentimiento informado y confidencialidad en el tratamiento de datos.</w:t>
            </w:r>
          </w:p>
        </w:tc>
        <w:tc>
          <w:tcPr>
            <w:tcW w:type="dxa" w:w="1656"/>
            <w:shd w:fill="FFFFFF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t>Prueba piloto del instrumento de recolección y diario de campo metodológico.</w:t>
            </w:r>
          </w:p>
        </w:tc>
        <w:tc>
          <w:tcPr>
            <w:tcW w:type="dxa" w:w="1656"/>
            <w:shd w:fill="FFFFFF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t>Coherencia interna entre objetivos, variables/categorías y técnicas de recolección.</w:t>
            </w:r>
          </w:p>
        </w:tc>
      </w:tr>
      <w:tr>
        <w:tc>
          <w:tcPr>
            <w:tcW w:type="dxa" w:w="1656"/>
            <w:shd w:fill="F8FAFC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t>Semana 4:</w:t>
              <w:br/>
              <w:t>Integración y Defensa del Perfil de Investigación</w:t>
            </w:r>
          </w:p>
        </w:tc>
        <w:tc>
          <w:tcPr>
            <w:tcW w:type="dxa" w:w="1656"/>
            <w:shd w:fill="F8FAFC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t>Estructura formal del informe de perfil de investigación y comunicación científica.</w:t>
            </w:r>
          </w:p>
        </w:tc>
        <w:tc>
          <w:tcPr>
            <w:tcW w:type="dxa" w:w="1656"/>
            <w:shd w:fill="F8FAFC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t>Redacción final del perfil y sustentación oral socrática ante tribunal de pares.</w:t>
            </w:r>
          </w:p>
        </w:tc>
        <w:tc>
          <w:tcPr>
            <w:tcW w:type="dxa" w:w="1656"/>
            <w:shd w:fill="F8FAFC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t>Compromiso deontológico y responsabilidad social del investigador novel.</w:t>
            </w:r>
          </w:p>
        </w:tc>
        <w:tc>
          <w:tcPr>
            <w:tcW w:type="dxa" w:w="1656"/>
            <w:shd w:fill="F8FAFC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t>Defensa verbal individual del documento validando autoría y comprensión profunda.</w:t>
            </w:r>
          </w:p>
        </w:tc>
        <w:tc>
          <w:tcPr>
            <w:tcW w:type="dxa" w:w="1656"/>
            <w:shd w:fill="F8FAFC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t>Perfil completo y sustentación oral rigurosa con dominio conceptual de las decisiones tomadas.</w:t>
            </w:r>
          </w:p>
        </w:tc>
      </w:tr>
    </w:tbl>
    <w:p/>
    <w:p>
      <w:r>
        <w:rPr>
          <w:rFonts w:ascii="Arial" w:hAnsi="Arial"/>
          <w:b/>
          <w:color w:val="1E293B"/>
          <w:sz w:val="22"/>
        </w:rPr>
        <w:t>4. ENFOQUE HUMANO: INCLUSIÓN (DUA) Y RIGOR EPISTÉMICO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tcMar>
              <w:top w:w="100" w:type="dxa"/>
              <w:bottom w:w="100" w:type="dxa"/>
              <w:left w:w="120" w:type="dxa"/>
              <w:right w:w="120" w:type="dxa"/>
            </w:tcMar>
            <w:shd w:fill="F1F5F9"/>
          </w:tcPr>
          <w:p>
            <w:r>
              <w:rPr>
                <w:rFonts w:ascii="Arial" w:hAnsi="Arial"/>
                <w:b/>
                <w:color w:val="1E293B"/>
                <w:sz w:val="18"/>
              </w:rPr>
              <w:t>Diseño Universal para el Aprendizaje (DUA CAST 2024):</w:t>
            </w:r>
          </w:p>
        </w:tc>
        <w:tc>
          <w:tcPr>
            <w:tcW w:type="dxa" w:w="4968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r>
              <w:t>Ninguno registrado (Adaptaciones DUA generales aplicadas). Múltiples medios de representación (diagramas metodológicos, grabaciones) y evaluación flexible por hitos.</w:t>
            </w:r>
          </w:p>
        </w:tc>
      </w:tr>
      <w:tr>
        <w:tc>
          <w:tcPr>
            <w:tcW w:type="dxa" w:w="4968"/>
            <w:tcMar>
              <w:top w:w="100" w:type="dxa"/>
              <w:bottom w:w="100" w:type="dxa"/>
              <w:left w:w="120" w:type="dxa"/>
              <w:right w:w="120" w:type="dxa"/>
            </w:tcMar>
            <w:shd w:fill="F1F5F9"/>
          </w:tcPr>
          <w:p>
            <w:r>
              <w:rPr>
                <w:rFonts w:ascii="Arial" w:hAnsi="Arial"/>
                <w:b/>
                <w:color w:val="1E293B"/>
                <w:sz w:val="18"/>
              </w:rPr>
              <w:t>Estrategia Anti-Outsourcing y Triangulación Socrática:</w:t>
            </w:r>
          </w:p>
        </w:tc>
        <w:tc>
          <w:tcPr>
            <w:tcW w:type="dxa" w:w="4968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r>
              <w:t>Triangulación Socrática obligatoria mediante coloquio oral individual de 10 minutos para defender el proceso de diseño metodológico.</w:t>
            </w:r>
          </w:p>
        </w:tc>
      </w:tr>
    </w:tbl>
    <w:p/>
    <w:p>
      <w:r>
        <w:rPr>
          <w:rFonts w:ascii="Arial" w:hAnsi="Arial"/>
          <w:b/>
          <w:color w:val="1E293B"/>
          <w:sz w:val="22"/>
        </w:rPr>
        <w:t>5. PRODUCTO FINAL INTEGRADOR DEL MÓDULO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tcMar>
              <w:top w:w="100" w:type="dxa"/>
              <w:bottom w:w="100" w:type="dxa"/>
              <w:left w:w="120" w:type="dxa"/>
              <w:right w:w="120" w:type="dxa"/>
            </w:tcMar>
            <w:shd w:fill="FEF3C7"/>
          </w:tcPr>
          <w:p>
            <w:r>
              <w:rPr>
                <w:rFonts w:ascii="Arial" w:hAnsi="Arial"/>
                <w:b/>
                <w:color w:val="B45309"/>
                <w:sz w:val="18"/>
              </w:rPr>
              <w:t>Evidencia Auténtica Integradora:</w:t>
            </w:r>
          </w:p>
        </w:tc>
        <w:tc>
          <w:tcPr>
            <w:tcW w:type="dxa" w:w="4968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r>
              <w:t>Perfil de Investigación Científica defendido oralmente con evidencia de proceso.</w:t>
            </w:r>
          </w:p>
        </w:tc>
      </w:tr>
    </w:tbl>
    <w:p/>
    <w:p>
      <w:r>
        <w:rPr>
          <w:rFonts w:ascii="Arial" w:hAnsi="Arial"/>
          <w:b/>
          <w:color w:val="1E293B"/>
          <w:sz w:val="22"/>
        </w:rPr>
        <w:t>6. FIRMAS DE APROBACIÓN Y ASEGURAMIENTO DE LA CALIDAD (ISO 21001)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tcMar>
              <w:top w:w="300" w:type="dxa"/>
              <w:bottom w:w="60" w:type="dxa"/>
              <w:left w:w="60" w:type="dxa"/>
              <w:right w:w="60" w:type="dxa"/>
            </w:tcMar>
            <w:shd w:fill="FAFAFA"/>
          </w:tcPr>
          <w:p>
            <w:pPr>
              <w:jc w:val="center"/>
            </w:pPr>
            <w:r>
              <w:rPr>
                <w:rFonts w:ascii="Arial" w:hAnsi="Arial"/>
                <w:color w:val="64748B"/>
                <w:sz w:val="16"/>
              </w:rPr>
              <w:t>____________________________</w:t>
              <w:br/>
              <w:t>Firma y Sello</w:t>
            </w:r>
          </w:p>
        </w:tc>
        <w:tc>
          <w:tcPr>
            <w:tcW w:type="dxa" w:w="3312"/>
            <w:tcMar>
              <w:top w:w="300" w:type="dxa"/>
              <w:bottom w:w="60" w:type="dxa"/>
              <w:left w:w="60" w:type="dxa"/>
              <w:right w:w="60" w:type="dxa"/>
            </w:tcMar>
            <w:shd w:fill="FAFAFA"/>
          </w:tcPr>
          <w:p>
            <w:pPr>
              <w:jc w:val="center"/>
            </w:pPr>
            <w:r>
              <w:rPr>
                <w:rFonts w:ascii="Arial" w:hAnsi="Arial"/>
                <w:color w:val="64748B"/>
                <w:sz w:val="16"/>
              </w:rPr>
              <w:t>____________________________</w:t>
              <w:br/>
              <w:t>Firma y Sello</w:t>
            </w:r>
          </w:p>
        </w:tc>
        <w:tc>
          <w:tcPr>
            <w:tcW w:type="dxa" w:w="3312"/>
            <w:tcMar>
              <w:top w:w="300" w:type="dxa"/>
              <w:bottom w:w="60" w:type="dxa"/>
              <w:left w:w="60" w:type="dxa"/>
              <w:right w:w="60" w:type="dxa"/>
            </w:tcMar>
            <w:shd w:fill="FAFAFA"/>
          </w:tcPr>
          <w:p>
            <w:pPr>
              <w:jc w:val="center"/>
            </w:pPr>
            <w:r>
              <w:rPr>
                <w:rFonts w:ascii="Arial" w:hAnsi="Arial"/>
                <w:color w:val="64748B"/>
                <w:sz w:val="16"/>
              </w:rPr>
              <w:t>____________________________</w:t>
              <w:br/>
              <w:t>Firma y Sello</w:t>
            </w:r>
          </w:p>
        </w:tc>
      </w:tr>
      <w:tr>
        <w:tc>
          <w:tcPr>
            <w:tcW w:type="dxa" w:w="3312"/>
            <w:tcMar>
              <w:top w:w="40" w:type="dxa"/>
              <w:bottom w:w="80" w:type="dxa"/>
              <w:left w:w="60" w:type="dxa"/>
              <w:right w:w="60" w:type="dxa"/>
            </w:tcMar>
            <w:shd w:fill="F1F5F9"/>
          </w:tcPr>
          <w:p>
            <w:pPr>
              <w:jc w:val="center"/>
            </w:pPr>
            <w:r>
              <w:t>DOCENTE TITULAR</w:t>
              <w:br/>
              <w:t>Lic. / Dr. Docente Titular</w:t>
              <w:br/>
              <w:t>(Elaboración y custodia de evidencias)</w:t>
            </w:r>
          </w:p>
        </w:tc>
        <w:tc>
          <w:tcPr>
            <w:tcW w:type="dxa" w:w="3312"/>
            <w:tcMar>
              <w:top w:w="40" w:type="dxa"/>
              <w:bottom w:w="80" w:type="dxa"/>
              <w:left w:w="60" w:type="dxa"/>
              <w:right w:w="60" w:type="dxa"/>
            </w:tcMar>
            <w:shd w:fill="F1F5F9"/>
          </w:tcPr>
          <w:p>
            <w:pPr>
              <w:jc w:val="center"/>
            </w:pPr>
            <w:r>
              <w:rPr>
                <w:rFonts w:ascii="Arial" w:hAnsi="Arial"/>
                <w:b/>
                <w:color w:val="1E293B"/>
                <w:sz w:val="16"/>
              </w:rPr>
              <w:t>COORDINACIÓN DE CARRERA</w:t>
              <w:br/>
            </w:r>
            <w:r>
              <w:rPr>
                <w:rFonts w:ascii="Arial" w:hAnsi="Arial"/>
                <w:color w:val="64748B"/>
                <w:sz w:val="14"/>
              </w:rPr>
              <w:t>Comisión Curricular de Área</w:t>
              <w:br/>
              <w:t>(Revisión curricular y pertinencia)</w:t>
            </w:r>
          </w:p>
        </w:tc>
        <w:tc>
          <w:tcPr>
            <w:tcW w:type="dxa" w:w="3312"/>
            <w:tcMar>
              <w:top w:w="40" w:type="dxa"/>
              <w:bottom w:w="80" w:type="dxa"/>
              <w:left w:w="60" w:type="dxa"/>
              <w:right w:w="60" w:type="dxa"/>
            </w:tcMar>
            <w:shd w:fill="F1F5F9"/>
          </w:tcPr>
          <w:p>
            <w:pPr>
              <w:jc w:val="center"/>
            </w:pPr>
            <w:r>
              <w:rPr>
                <w:rFonts w:ascii="Arial" w:hAnsi="Arial"/>
                <w:b/>
                <w:color w:val="1E293B"/>
                <w:sz w:val="16"/>
              </w:rPr>
              <w:t>DIRECCIÓN ACADÉMICA / DECANATO</w:t>
              <w:br/>
            </w:r>
            <w:r>
              <w:rPr>
                <w:rFonts w:ascii="Arial" w:hAnsi="Arial"/>
                <w:color w:val="64748B"/>
                <w:sz w:val="14"/>
              </w:rPr>
              <w:t>Dirección de Calidad Académica</w:t>
              <w:br/>
              <w:t>(Aprobación oficial institucional)</w:t>
            </w:r>
          </w:p>
        </w:tc>
      </w:tr>
    </w:tbl>
    <w:p/>
    <w:p>
      <w:pPr>
        <w:jc w:val="right"/>
      </w:pPr>
      <w:r>
        <w:rPr>
          <w:rFonts w:ascii="Arial" w:hAnsi="Arial"/>
          <w:i/>
          <w:color w:val="64748B"/>
          <w:sz w:val="15"/>
        </w:rPr>
        <w:t>Generado automáticamente por el Motor de Planificación Modular CBL • Carpeta Pedagógica 2.0 • ISO 21001:2018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>Carpeta Pedagógica 2.0 • Sistema de Calidad Curricular • DOC-DIR-CP2-PDC-INV101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PLAN DE APRENDIZAJE MODULAR (CBL) • INV101 • ISO 21001:2018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