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75569"/>
          <w:sz w:val="20"/>
        </w:rPr>
        <w:t>SISTEMA DE GESTIÓN CURRICULAR &amp; ANALÍTICA DE APRENDIZAJE</w:t>
        <w:br/>
        <w:t>CARPETA PEDAGÓGICA 2.0 — VERSIÓN 1.0 (EDUCATIONAL EDITION)</w:t>
        <w:br/>
      </w:r>
    </w:p>
    <w:p/>
    <w:p>
      <w:pPr>
        <w:jc w:val="center"/>
      </w:pPr>
      <w:r>
        <w:rPr>
          <w:rFonts w:ascii="Arial" w:hAnsi="Arial"/>
          <w:b/>
          <w:color w:val="1A3A5C"/>
          <w:sz w:val="44"/>
        </w:rPr>
        <w:t>DOSSIER PEDAGÓGICO CONSOLIDADO</w:t>
      </w:r>
    </w:p>
    <w:p>
      <w:pPr>
        <w:jc w:val="center"/>
      </w:pPr>
      <w:r>
        <w:rPr>
          <w:rFonts w:ascii="Arial" w:hAnsi="Arial"/>
          <w:b/>
          <w:color w:val="B45309"/>
          <w:sz w:val="24"/>
        </w:rPr>
        <w:t>Planificación Curricular Modular • Evaluación Auténtica • Matriz DUA • Analítica de Aula</w:t>
        <w:br/>
        <w:t>ASIGNATURA: QUIM101 - QUÍMICA ANALÍTICA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Código Oficial de Documento: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DOC-DIR-CP2-DOSSIER-QUIM101Q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Versión del Documento: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1.0 (Vigente Oficial / Acreditado)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Docente Responsable / Titular: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Luis Alfredo Andia Valverde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Nivel Educativo y Régimen: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Superior / Pregrado — Semestral / Modular (2026)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Periodo / Módulo Académico: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Periodo 1 - 2026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Modalidad Didáctica: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Semipresencial / Aula Invertida con Andamiaje IA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Fecha de Consolidación y Registro: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06 de September de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A5C"/>
        </w:rPr>
        <w:t>I. Caracterización Curricular, Fundamentación y Marco Ético</w:t>
      </w:r>
    </w:p>
    <w:p>
      <w:r>
        <w:rPr>
          <w:b/>
        </w:rPr>
        <w:t>1.1 Problema Central del Contexto:</w:t>
        <w:br/>
      </w:r>
      <w:r>
        <w:t>Desarrollo de pensamiento investigativo crítico frente al riesgo de outsourcing cognitivo y uso acrítico de inteligencia artificial en entornos universitarios.</w:t>
      </w:r>
    </w:p>
    <w:p>
      <w:r>
        <w:rPr>
          <w:b/>
        </w:rPr>
        <w:t>1.2 Competencia Global de la Asignatura:</w:t>
        <w:br/>
      </w:r>
      <w:r>
        <w:t>Formula, diseña y defiende un perfil de investigación riguroso aplicando metodologías científicas pertinentes, con responsabilidad deontológica y sustentación oral socrática.</w:t>
      </w:r>
    </w:p>
    <w:p>
      <w:r>
        <w:rPr>
          <w:b/>
        </w:rPr>
        <w:t>1.3 Fundamentación Epistemológica y Aporte al Perfil de Egreso:</w:t>
        <w:br/>
      </w:r>
      <w:r>
        <w:t>La asignatura QUIM101 - Química Analítica se articula de manera directa con las competencias de egreso profesional referidas a la resolución de problemas complejos y la toma de decisiones basada en evidencia. Bajo el paradigma del Aprendizaje Basado en Competencias (CBL) y el Diseño Universal para el Aprendizaje (DUA marco CAST 2024), la asignatura asegura que cada estudiante transite de un nivel inicial a un dominio estratégico, evitando brechas de aprendizaje mediante andamiajes progresivos ajustados a la Zona de Desarrollo Próximo (Vygotsky) y fortaleciendo la motivación intrínseca (Deci &amp; Ryan).</w:t>
      </w:r>
    </w:p>
    <w:p>
      <w:r>
        <w:rPr>
          <w:b/>
        </w:rPr>
        <w:t>1.4 Política Institucional sobre Inteligencia Artificial y Ética del Aprendizaje (Anti-Outsourcing Cognitivo):</w:t>
        <w:br/>
      </w:r>
      <w:r>
        <w:t>En concordancia con los estándares de integridad académica internacional, la inteligencia artificial se reconoce como un copiloto de consulta, asistencia y clarificación conceptual, pero NUNCA como un sustituto del juicio crítico del estudiante. Queda expresamente normado que toda entrega académica debe respaldar su autoría mediante evidencias de proceso (Sudor Intelectual: bitácoras, iteraciones de prompts y borradores evolutivos). Ante alertas estadísticas de tareas sospechosamente perfectas sin proceso reflexivo, el docente activará el Protocolo de Triangulación Socrática oral como requisito habilitante de aprobación.</w:t>
      </w:r>
    </w:p>
    <w:p/>
    <w:p>
      <w:pPr>
        <w:pStyle w:val="Heading1"/>
      </w:pPr>
      <w:r>
        <w:rPr>
          <w:color w:val="1A3A5C"/>
        </w:rPr>
        <w:t>II. Diagnóstico Analítico y Prescripción Pedagógica (Rigor Estadístico)</w:t>
      </w:r>
    </w:p>
    <w:p>
      <w:r>
        <w:t>Población Estudiantil Auditada: 10 estudiantes matriculados.</w:t>
        <w:br/>
      </w:r>
      <w:r>
        <w:t>• Promedio General de Rendimiento: 75.4 / 100 (Mediana: 70.0, Desviación Estándar Muestral: 15.0).</w:t>
        <w:br/>
      </w:r>
      <w:r>
        <w:t>• Coeficiente de Asimetría (Fisher-Pearson g1 = 0): Distribución equilibrada.</w:t>
        <w:br/>
      </w:r>
      <w:r>
        <w:t>• Alertas de Outsourcing Cognitivo Detectadas: 0 estudiantes con alto puntaje pero nula evidencia de iteración reflexiva.</w:t>
        <w:br/>
      </w:r>
      <w:r>
        <w:t>• Casos en Riesgo de Rezago Prioritario: 2 estudiantes clasificados para andamiaje urgente.</w:t>
        <w:br/>
      </w:r>
      <w:r>
        <w:t>• Zona de Desarrollo Próximo (Vygotsky): Andamiaje formativo multinivel activo.</w:t>
        <w:br/>
      </w:r>
      <w:r>
        <w:t>• Teoría de Autodeterminación (Deci &amp; Ryan): Autonomía=7.2/10, Competencia=7.0/10, Relación=7.5/10.</w:t>
      </w:r>
    </w:p>
    <w:p/>
    <w:p>
      <w:pPr>
        <w:pStyle w:val="Heading1"/>
      </w:pPr>
      <w:r>
        <w:rPr>
          <w:color w:val="1A3A5C"/>
        </w:rPr>
        <w:t>III. Planificación Curricular Modular (4 Fases de Hitos y Desempeños)</w:t>
      </w:r>
    </w:p>
    <w:p>
      <w:r>
        <w:rPr>
          <w:b/>
          <w:color w:val="1A3A5C"/>
        </w:rPr>
        <w:t>• Fase 1: Planteamiento y Problematización</w:t>
        <w:br/>
      </w:r>
      <w:r>
        <w:t xml:space="preserve">  - Saberes Conceptuales (Saber): Fundamentos teóricos y modelos conceptuales pertinentes.</w:t>
        <w:br/>
      </w:r>
      <w:r>
        <w:t xml:space="preserve">  - Desempeño Práctico (Saber Hacer): Técnicas aplicadas, protocolos experimentales y resolución de problemas.</w:t>
        <w:br/>
      </w:r>
      <w:r>
        <w:t xml:space="preserve">  - Evidencia de Sudor Intelectual: Bitácora de iteraciones, formulación reflexiva de prompts y análisis de fallos.</w:t>
        <w:br/>
      </w:r>
      <w:r>
        <w:t xml:space="preserve">  - Criterio de Evaluación y Dominio: Rigor metodológico, coherencia interna y consistencia argumentativa.</w:t>
        <w:br/>
      </w:r>
    </w:p>
    <w:p>
      <w:r>
        <w:rPr>
          <w:b/>
          <w:color w:val="1A3A5C"/>
        </w:rPr>
        <w:t>• Fase 2: Marco Teórico y Estado del Arte</w:t>
        <w:br/>
      </w:r>
      <w:r>
        <w:t xml:space="preserve">  - Saberes Conceptuales (Saber): Fundamentos teóricos y modelos conceptuales pertinentes.</w:t>
        <w:br/>
      </w:r>
      <w:r>
        <w:t xml:space="preserve">  - Desempeño Práctico (Saber Hacer): Técnicas aplicadas, protocolos experimentales y resolución de problemas.</w:t>
        <w:br/>
      </w:r>
      <w:r>
        <w:t xml:space="preserve">  - Evidencia de Sudor Intelectual: Bitácora de iteraciones, formulación reflexiva de prompts y análisis de fallos.</w:t>
        <w:br/>
      </w:r>
      <w:r>
        <w:t xml:space="preserve">  - Criterio de Evaluación y Dominio: Rigor metodológico, coherencia interna y consistencia argumentativa.</w:t>
        <w:br/>
      </w:r>
    </w:p>
    <w:p>
      <w:r>
        <w:rPr>
          <w:b/>
          <w:color w:val="1A3A5C"/>
        </w:rPr>
        <w:t>• Fase 3: Diseño Metodológico de Campo</w:t>
        <w:br/>
      </w:r>
      <w:r>
        <w:t xml:space="preserve">  - Saberes Conceptuales (Saber): Fundamentos teóricos y modelos conceptuales pertinentes.</w:t>
        <w:br/>
      </w:r>
      <w:r>
        <w:t xml:space="preserve">  - Desempeño Práctico (Saber Hacer): Técnicas aplicadas, protocolos experimentales y resolución de problemas.</w:t>
        <w:br/>
      </w:r>
      <w:r>
        <w:t xml:space="preserve">  - Evidencia de Sudor Intelectual: Bitácora de iteraciones, formulación reflexiva de prompts y análisis de fallos.</w:t>
        <w:br/>
      </w:r>
      <w:r>
        <w:t xml:space="preserve">  - Criterio de Evaluación y Dominio: Rigor metodológico, coherencia interna y consistencia argumentativa.</w:t>
        <w:br/>
      </w:r>
    </w:p>
    <w:p>
      <w:r>
        <w:rPr>
          <w:b/>
          <w:color w:val="1A3A5C"/>
        </w:rPr>
        <w:t>• Fase 4: Integración y Defensa Socrática</w:t>
        <w:br/>
      </w:r>
      <w:r>
        <w:t xml:space="preserve">  - Saberes Conceptuales (Saber): Fundamentos teóricos y modelos conceptuales pertinentes.</w:t>
        <w:br/>
      </w:r>
      <w:r>
        <w:t xml:space="preserve">  - Desempeño Práctico (Saber Hacer): Técnicas aplicadas, protocolos experimentales y resolución de problemas.</w:t>
        <w:br/>
      </w:r>
      <w:r>
        <w:t xml:space="preserve">  - Evidencia de Sudor Intelectual: Bitácora de iteraciones, formulación reflexiva de prompts y análisis de fallos.</w:t>
        <w:br/>
      </w:r>
      <w:r>
        <w:t xml:space="preserve">  - Criterio de Evaluación y Dominio: Rigor metodológico, coherencia interna y consistencia argumentativa.</w:t>
        <w:br/>
      </w:r>
    </w:p>
    <w:p>
      <w:r>
        <w:br w:type="page"/>
      </w:r>
    </w:p>
    <w:p>
      <w:pPr>
        <w:pStyle w:val="Heading1"/>
      </w:pPr>
      <w:r>
        <w:rPr>
          <w:color w:val="1A3A5C"/>
        </w:rPr>
        <w:t>IV. Plan de Evaluación de los Aprendizajes (Alineamiento Constructivo 100%)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3A5C"/>
          </w:tcPr>
          <w:p>
            <w:r>
              <w:rPr>
                <w:b/>
                <w:color w:val="FFFFFF"/>
                <w:sz w:val="18"/>
              </w:rPr>
              <w:t>Momento Evaluativo</w:t>
            </w:r>
          </w:p>
        </w:tc>
        <w:tc>
          <w:tcPr>
            <w:tcW w:type="dxa" w:w="2484"/>
            <w:shd w:fill="1A3A5C"/>
          </w:tcPr>
          <w:p>
            <w:r>
              <w:rPr>
                <w:b/>
                <w:color w:val="FFFFFF"/>
                <w:sz w:val="18"/>
              </w:rPr>
              <w:t>Dimensión Curricular</w:t>
            </w:r>
          </w:p>
        </w:tc>
        <w:tc>
          <w:tcPr>
            <w:tcW w:type="dxa" w:w="2484"/>
            <w:shd w:fill="1A3A5C"/>
          </w:tcPr>
          <w:p>
            <w:r>
              <w:rPr>
                <w:b/>
                <w:color w:val="FFFFFF"/>
                <w:sz w:val="18"/>
              </w:rPr>
              <w:t>Ponderación Oficial</w:t>
            </w:r>
          </w:p>
        </w:tc>
        <w:tc>
          <w:tcPr>
            <w:tcW w:type="dxa" w:w="2484"/>
            <w:shd w:fill="1A3A5C"/>
          </w:tcPr>
          <w:p>
            <w:r>
              <w:rPr>
                <w:b/>
                <w:color w:val="FFFFFF"/>
                <w:sz w:val="18"/>
              </w:rPr>
              <w:t>Instrumentos Asignados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Evaluación Diagnóstica Inicial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Diagnóstico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micro_quizzes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Evaluación Formativa e Hitos de Proceso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Hacer &amp; Proceso (Sudor Intelectual)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40%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rubrica_cbl, registro_sudor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Evaluación Sumativa / Desempeño Auténtico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Producto &amp; Transferencia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40%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triangulacion</w:t>
            </w:r>
          </w:p>
        </w:tc>
      </w:tr>
      <w:tr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Metacognición y Autoevaluación Guiada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Ser &amp; Autorregulación (Hattie d=1.16)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10%</w:t>
            </w:r>
          </w:p>
        </w:tc>
        <w:tc>
          <w:tcPr>
            <w:tcW w:type="dxa" w:w="2484"/>
          </w:tcPr>
          <w:p>
            <w:r>
              <w:rPr>
                <w:rFonts w:ascii="Arial" w:hAnsi="Arial"/>
                <w:sz w:val="17"/>
              </w:rPr>
              <w:t>ficha_autorregulacion</w:t>
            </w:r>
          </w:p>
        </w:tc>
      </w:tr>
    </w:tbl>
    <w:p/>
    <w:p>
      <w:pPr>
        <w:pStyle w:val="Heading1"/>
      </w:pPr>
      <w:r>
        <w:rPr>
          <w:color w:val="1A3A5C"/>
        </w:rPr>
        <w:t>V. Matriz Institucional DUA (Inclusión &amp; Accesibilidad CAST 2024)</w:t>
      </w:r>
    </w:p>
    <w:p>
      <w:r>
        <w:rPr>
          <w:i/>
          <w:sz w:val="16"/>
        </w:rPr>
        <w:t>Protocolo de Confidencialidad y Custodia Soberana: Conforme a la legislación de protección de datos personales, los estudiantes se identifican mediante código institucional e iniciales unívocas.</w:t>
        <w:br/>
        <w:t>Marco Operativo: Pautas de Diseño Universal para el Aprendizaje (CAST 2024) y Efecto John Hattie (d = 1.16).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Estudiante</w:t>
            </w:r>
          </w:p>
        </w:tc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Diagnóstico Aula</w:t>
            </w:r>
          </w:p>
        </w:tc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1. Compromiso (Afectivo)</w:t>
            </w:r>
          </w:p>
        </w:tc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2. Representación (Cognitivo)</w:t>
            </w:r>
          </w:p>
        </w:tc>
        <w:tc>
          <w:tcPr>
            <w:tcW w:type="dxa" w:w="1987"/>
            <w:shd w:fill="1A3A5C"/>
          </w:tcPr>
          <w:p>
            <w:r>
              <w:rPr>
                <w:b/>
                <w:color w:val="FFFFFF"/>
                <w:sz w:val="17"/>
              </w:rPr>
              <w:t>3. Acción y Expresión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(Est_001)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(Est_002)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(Est_003)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(Est_004)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(Est_005)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(Est_006)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(Est_007)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(Est_008)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E. 0.</w:t>
              <w:br/>
              <w:t>(Est_009)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6"/>
              </w:rPr>
              <w:t>E. 1.</w:t>
              <w:br/>
              <w:t>(Est_010)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Regular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</w:tr>
    </w:tbl>
    <w:p/>
    <w:p>
      <w:pPr>
        <w:pStyle w:val="Heading1"/>
      </w:pPr>
      <w:r>
        <w:rPr>
          <w:color w:val="1A3A5C"/>
        </w:rPr>
        <w:t>VI. Catálogo de Instrumentos Oficiales de Evaluación</w:t>
      </w:r>
    </w:p>
    <w:p>
      <w:r>
        <w:rPr>
          <w:b/>
        </w:rPr>
        <w:t>• Ficha de Autoevaluación y Co-evaluación Formativa (Formato: .DOCX | Dimensión: Metacognición / Ser)</w:t>
        <w:br/>
      </w:r>
      <w:r>
        <w:t xml:space="preserve">  Propósito pedagógico: Instrumento estructurado para que el estudiante evalúe su propio proceso, activando la metacognición y dimensión afectiva. | Impacto esperado: Efecto Hattie d = 1.16.</w:t>
      </w:r>
    </w:p>
    <w:p>
      <w:r>
        <w:rPr>
          <w:b/>
        </w:rPr>
        <w:t>• Matriz de Hitos y Rúbrica CBL (Formato: .XLSX | Dimensión: Saber / Hacer)</w:t>
        <w:br/>
      </w:r>
      <w:r>
        <w:t xml:space="preserve">  Propósito pedagógico: Rúbrica analítica de 4 niveles (Emergente, En Desarrollo, Competente, Avanzado) para evaluar hitos y transferibilidad. | Impacto esperado: Aprendizaje Basado en Competencias.</w:t>
      </w:r>
    </w:p>
    <w:p>
      <w:r>
        <w:rPr>
          <w:b/>
        </w:rPr>
        <w:t>• Registro de Sudor Intelectual y DUA (Formato: .XLSX | Dimensión: Proceso / Esfuerzo)</w:t>
        <w:br/>
      </w:r>
      <w:r>
        <w:t xml:space="preserve">  Propósito pedagógico: Plantilla para registrar iteraciones de prompts, calidad del diálogo y canales múltiples de expresión del estudiante. | Impacto esperado: Anti-Outsourcing &amp; Inclusión DUA.</w:t>
      </w:r>
    </w:p>
    <w:p>
      <w:r>
        <w:rPr>
          <w:b/>
        </w:rPr>
        <w:t>• Guía de Triangulación Socrática (Formato: .DOCX | Dimensión: Verificación de Autoría)</w:t>
        <w:br/>
      </w:r>
      <w:r>
        <w:t xml:space="preserve">  Propósito pedagógico: Protocolo de entrevista docente para contrastar trabajos sospechosamente perfectos y evaluar el músculo intelectual real. | Impacto esperado: Rigor Epistémico &amp; Defensa Oral.</w:t>
      </w:r>
    </w:p>
    <w:p>
      <w:r>
        <w:rPr>
          <w:b/>
        </w:rPr>
        <w:t>• Batería de Micro-quizzes Tempranos (Formato: .XLSX | Dimensión: Diagnóstica)</w:t>
        <w:br/>
      </w:r>
      <w:r>
        <w:t xml:space="preserve">  Propósito pedagógico: Evaluaciones de bajo riesgo para detectar lagunas en prerrequisitos antes del primer examen formal. | Impacto esperado: Alerta Temprana en Semanas 1-2.</w:t>
      </w:r>
    </w:p>
    <w:p>
      <w:r>
        <w:rPr>
          <w:b/>
        </w:rPr>
        <w:t>• Ficha Socioeducativa de Contexto (Formato: .XLSX | Dimensión: Contexto Familiar)</w:t>
        <w:br/>
      </w:r>
      <w:r>
        <w:t xml:space="preserve">  Propósito pedagógico: Relevamiento de conectividad, carga laboral y convivencia para fundamentar adaptaciones curriculares contextualizadas. | Impacto esperado: Equidad &amp; Factores Situacionales.</w:t>
      </w:r>
    </w:p>
    <w:p/>
    <w:p/>
    <w:p>
      <w:pPr>
        <w:pStyle w:val="Heading1"/>
      </w:pPr>
      <w:r>
        <w:rPr>
          <w:color w:val="1A3A5C"/>
        </w:rPr>
        <w:t>VII. Aprobación y Aseguramiento de Calidad Académica (Firmas Tripartitas)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_______________________________</w:t>
              <w:br/>
              <w:t>ELABORADO POR:</w:t>
              <w:br/>
              <w:t>Docente Titular Responsable</w:t>
              <w:br/>
              <w:t>Custodia de Aula y Evidencias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_______________________________</w:t>
              <w:br/>
              <w:t>REVISADO POR:</w:t>
              <w:br/>
              <w:t>Coordinación de Carrera</w:t>
              <w:br/>
              <w:t>Comisión Curricular y Calidad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_______________________________</w:t>
              <w:br/>
              <w:t>APROBADO POR:</w:t>
              <w:br/>
              <w:t>Dirección Académica / Decanato</w:t>
              <w:br/>
              <w:t>Acreditación y Registro Oficial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18096"/>
        <w:sz w:val="15"/>
      </w:rPr>
      <w:t>Carpeta Pedagógica 2.0 • Aseguramiento de Calidad Académica • Registro Oficial de Evidencias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18096"/>
        <w:sz w:val="15"/>
      </w:rPr>
      <w:t>SISTEMA DE GESTIÓN CURRICULAR • QUIM101 - QUÍMICA ANALÍTICA • ISO 21001 CLÁUSULA 7.5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