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18"/>
        </w:rPr>
        <w:t>SISTEMA DE GESTIÓN CURRICULAR • ASEGURAMIENTO DE LA CALIDAD EDUCATIVA</w:t>
        <w:br/>
      </w:r>
    </w:p>
    <w:p>
      <w:pPr>
        <w:jc w:val="center"/>
      </w:pPr>
      <w:r>
        <w:rPr>
          <w:rFonts w:ascii="Arial" w:hAnsi="Arial"/>
          <w:b/>
          <w:color w:val="1A3A5C"/>
          <w:sz w:val="36"/>
        </w:rPr>
        <w:t>MATRIZ INSTITUCIONAL DE ADAPTACIONES DUA</w:t>
      </w:r>
    </w:p>
    <w:p>
      <w:pPr>
        <w:jc w:val="center"/>
      </w:pPr>
      <w:r>
        <w:rPr>
          <w:rFonts w:ascii="Arial" w:hAnsi="Arial"/>
          <w:b/>
          <w:color w:val="B45309"/>
          <w:sz w:val="22"/>
        </w:rPr>
        <w:t>Diseño Universal para el Aprendizaje • Ajustes Razonables • Evaluación Auténtica</w:t>
        <w:br/>
        <w:t>ASIGNATURA: QUIM101 - QUÍMICA ANALÍTICA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Código de Registro Oficial: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DOC-DIR-CP2-DUA-QUIM101Q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Versión Vigente: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1.0 (Acreditada)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Marco Normativo y Científico: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Diseño Universal para el Aprendizaje (CAST 2024), Efecto John Hattie (d = 1.16) y Ley de Protección de Datos Personales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Fecha de Emisión y Vigencia: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06/09/2026</w:t>
            </w:r>
          </w:p>
        </w:tc>
      </w:tr>
    </w:tbl>
    <w:p/>
    <w:p>
      <w:r>
        <w:rPr>
          <w:b/>
        </w:rPr>
        <w:t>1. Principios Orientadores del Marco CAST 2024 y Protección Soberana:</w:t>
        <w:br/>
      </w:r>
      <w:r>
        <w:t>El DUA postula que la variabilidad es la norma y no la excepción. En este sentido, el diseño curricular no busca adaptar al estudiante a un molde único, sino flexibilizar el entorno pedagógico a través de tres redes neuronales: (1) Redes Afectivas - Múltiples formas de Implicación y Compromiso, (2) Redes de Reconocimiento - Múltiples formas de Representación y Percepción, y (3) Redes Estratégicas - Múltiples formas de Acción y Expresión. En estricto cumplimiento de los principios éticos de custodia institucional, la identidad de los estudiantes se reporta mediante código de matrícula e iniciales para evitar sesgos o etiquetamiento estigmatizante.</w:t>
      </w:r>
    </w:p>
    <w:p/>
    <w:p>
      <w:pPr>
        <w:pStyle w:val="Heading1"/>
      </w:pPr>
      <w:r>
        <w:rPr>
          <w:color w:val="1A3A5C"/>
        </w:rPr>
        <w:t>2. Matriz Nominal de Adaptaciones y Ajustes Razonables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Estudiante</w:t>
              <w:br/>
              <w:t>(Iniciales / ID)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Diagnóstico /</w:t>
              <w:br/>
              <w:t>Alerta de Aula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1:</w:t>
              <w:br/>
              <w:t>Compromiso (Afectivo)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2:</w:t>
              <w:br/>
              <w:t>Representación (Cognitivo)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3:</w:t>
              <w:br/>
              <w:t>Acción y Expresión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Instrumento &amp;</w:t>
              <w:br/>
              <w:t>Ajuste Evaluativo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(Est_003)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(Est_004)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(Est_005)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(Est_006)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(Est_007)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(Est_008)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(Est_009)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E. 1.</w:t>
              <w:br/>
              <w:t>(Est_010)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rubrica_cbl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DOCENTE TITULAR RESPONSABLE</w:t>
              <w:br/>
              <w:t>Diseño Curricular y Evaluación Auténtica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COORDINACIÓN DE TUTORÍA / BIENESTAR</w:t>
              <w:br/>
              <w:t>Validación de Ajustes Razonables e Inclusión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18096"/>
        <w:sz w:val="15"/>
      </w:rPr>
      <w:t>Carpeta Pedagógica 2.0 • Protocolo de Inclusión, Diversidad y Accesibilidad Cognitiva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18096"/>
        <w:sz w:val="15"/>
      </w:rPr>
      <w:t>MATRIZ INSTITUCIONAL DUA • QUIM101 - QUÍMICA ANALÍTICA • CAST 2024 • ISO 21001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