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drawing>
          <wp:inline xmlns:a="http://schemas.openxmlformats.org/drawingml/2006/main" xmlns:pic="http://schemas.openxmlformats.org/drawingml/2006/picture">
            <wp:extent cx="438912" cy="438912"/>
            <wp:docPr id="1" name="Picture 1"/>
            <wp:cNvGraphicFramePr>
              <a:graphicFrameLocks noChangeAspect="1"/>
            </wp:cNvGraphicFramePr>
            <a:graphic>
              <a:graphicData uri="http://schemas.openxmlformats.org/drawingml/2006/picture">
                <pic:pic>
                  <pic:nvPicPr>
                    <pic:cNvPr id="0" name="32fe221a3583db74ff472de1add2819f521ee67d.png"/>
                    <pic:cNvPicPr/>
                  </pic:nvPicPr>
                  <pic:blipFill>
                    <a:blip r:embed="rId11"/>
                    <a:stretch>
                      <a:fillRect/>
                    </a:stretch>
                  </pic:blipFill>
                  <pic:spPr>
                    <a:xfrm>
                      <a:off x="0" y="0"/>
                      <a:ext cx="438912" cy="438912"/>
                    </a:xfrm>
                    <a:prstGeom prst="rect"/>
                  </pic:spPr>
                </pic:pic>
              </a:graphicData>
            </a:graphic>
          </wp:inline>
        </w:drawing>
      </w:r>
      <w:r>
        <w:rPr>
          <w:rFonts w:ascii="Aptos" w:hAnsi="Aptos" w:eastAsia="Aptos"/>
          <w:b/>
          <w:i w:val="0"/>
          <w:color w:val="72533D"/>
          <w:sz w:val="18"/>
        </w:rPr>
        <w:t xml:space="preserve">  FD CULINARY  /  PROYEK WEBSITE</w:t>
      </w:r>
    </w:p>
    <w:p>
      <w:pPr>
        <w:pStyle w:val="Title"/>
        <w:keepNext/>
      </w:pPr>
      <w:r>
        <w:rPr>
          <w:rFonts w:ascii="Aptos" w:hAnsi="Aptos" w:eastAsia="Aptos"/>
          <w:b/>
          <w:i w:val="0"/>
          <w:color w:val="000000"/>
          <w:sz w:val="48"/>
        </w:rPr>
        <w:t>Draf Perjanjian Jasa Pembuatan Website</w:t>
      </w:r>
    </w:p>
    <w:p>
      <w:pPr>
        <w:spacing w:after="180"/>
      </w:pPr>
      <w:r>
        <w:rPr>
          <w:rFonts w:ascii="Aptos" w:hAnsi="Aptos" w:eastAsia="Aptos"/>
          <w:b w:val="0"/>
          <w:i w:val="0"/>
          <w:color w:val="72533D"/>
          <w:sz w:val="24"/>
        </w:rPr>
        <w:t>Website katalog FD Culinary</w:t>
      </w:r>
    </w:p>
    <w:tbl>
      <w:tblPr>
        <w:tblW w:type="auto" w:w="0"/>
        <w:jc w:val="left"/>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498"/>
        <w:gridCol w:w="2498"/>
        <w:gridCol w:w="2498"/>
        <w:gridCol w:w="2498"/>
      </w:tblGrid>
      <w:tr>
        <w:tc>
          <w:tcPr>
            <w:tcW w:type="dxa" w:w="1008"/>
            <w:shd w:fill="F8F3EB"/>
            <w:tcMar>
              <w:top w:w="85" w:type="dxa"/>
              <w:start w:w="100" w:type="dxa"/>
              <w:bottom w:w="85" w:type="dxa"/>
              <w:end w:w="90" w:type="dxa"/>
            </w:tcMar>
          </w:tcPr>
          <w:p>
            <w:pPr>
              <w:spacing w:after="0" w:line="252" w:lineRule="auto"/>
            </w:pPr>
            <w:r/>
            <w:r>
              <w:rPr>
                <w:rFonts w:ascii="Aptos" w:hAnsi="Aptos" w:eastAsia="Aptos"/>
                <w:b/>
                <w:i w:val="0"/>
                <w:color w:val="72533D"/>
                <w:sz w:val="16"/>
              </w:rPr>
              <w:t>Klien</w:t>
            </w:r>
          </w:p>
        </w:tc>
        <w:tc>
          <w:tcPr>
            <w:tcW w:type="dxa" w:w="3024"/>
            <w:tcMar>
              <w:top w:w="85" w:type="dxa"/>
              <w:start w:w="100" w:type="dxa"/>
              <w:bottom w:w="85" w:type="dxa"/>
              <w:end w:w="90" w:type="dxa"/>
            </w:tcMar>
          </w:tcPr>
          <w:p>
            <w:pPr>
              <w:spacing w:after="0" w:line="252" w:lineRule="auto"/>
            </w:pPr>
            <w:r/>
            <w:r>
              <w:rPr>
                <w:rFonts w:ascii="Aptos" w:hAnsi="Aptos" w:eastAsia="Aptos"/>
                <w:b w:val="0"/>
                <w:i w:val="0"/>
                <w:color w:val="201A17"/>
                <w:sz w:val="18"/>
              </w:rPr>
              <w:t>FD Culinary</w:t>
            </w:r>
          </w:p>
        </w:tc>
        <w:tc>
          <w:tcPr>
            <w:tcW w:type="dxa" w:w="1008"/>
            <w:shd w:fill="F8F3EB"/>
            <w:tcMar>
              <w:top w:w="85" w:type="dxa"/>
              <w:start w:w="100" w:type="dxa"/>
              <w:bottom w:w="85" w:type="dxa"/>
              <w:end w:w="90" w:type="dxa"/>
            </w:tcMar>
          </w:tcPr>
          <w:p>
            <w:pPr>
              <w:spacing w:after="0" w:line="252" w:lineRule="auto"/>
            </w:pPr>
            <w:r/>
            <w:r>
              <w:rPr>
                <w:rFonts w:ascii="Aptos" w:hAnsi="Aptos" w:eastAsia="Aptos"/>
                <w:b/>
                <w:i w:val="0"/>
                <w:color w:val="72533D"/>
                <w:sz w:val="16"/>
              </w:rPr>
              <w:t>Versi</w:t>
            </w:r>
          </w:p>
        </w:tc>
        <w:tc>
          <w:tcPr>
            <w:tcW w:type="dxa" w:w="4464"/>
            <w:tcMar>
              <w:top w:w="85" w:type="dxa"/>
              <w:start w:w="100" w:type="dxa"/>
              <w:bottom w:w="85" w:type="dxa"/>
              <w:end w:w="90" w:type="dxa"/>
            </w:tcMar>
          </w:tcPr>
          <w:p>
            <w:pPr>
              <w:spacing w:after="0" w:line="252" w:lineRule="auto"/>
            </w:pPr>
            <w:r/>
            <w:r>
              <w:rPr>
                <w:rFonts w:ascii="Aptos" w:hAnsi="Aptos" w:eastAsia="Aptos"/>
                <w:b w:val="0"/>
                <w:i w:val="0"/>
                <w:color w:val="201A17"/>
                <w:sz w:val="18"/>
              </w:rPr>
              <w:t>0.1</w:t>
            </w:r>
          </w:p>
        </w:tc>
      </w:tr>
      <w:tr>
        <w:tc>
          <w:tcPr>
            <w:tcW w:type="dxa" w:w="1008"/>
            <w:shd w:fill="F8F3EB"/>
            <w:tcMar>
              <w:top w:w="85" w:type="dxa"/>
              <w:start w:w="100" w:type="dxa"/>
              <w:bottom w:w="85" w:type="dxa"/>
              <w:end w:w="90" w:type="dxa"/>
            </w:tcMar>
          </w:tcPr>
          <w:p>
            <w:pPr>
              <w:spacing w:after="0" w:line="252" w:lineRule="auto"/>
            </w:pPr>
            <w:r/>
            <w:r>
              <w:rPr>
                <w:rFonts w:ascii="Aptos" w:hAnsi="Aptos" w:eastAsia="Aptos"/>
                <w:b/>
                <w:i w:val="0"/>
                <w:color w:val="72533D"/>
                <w:sz w:val="16"/>
              </w:rPr>
              <w:t>Tanggal</w:t>
            </w:r>
          </w:p>
        </w:tc>
        <w:tc>
          <w:tcPr>
            <w:tcW w:type="dxa" w:w="3024"/>
            <w:tcMar>
              <w:top w:w="85" w:type="dxa"/>
              <w:start w:w="100" w:type="dxa"/>
              <w:bottom w:w="85" w:type="dxa"/>
              <w:end w:w="90" w:type="dxa"/>
            </w:tcMar>
          </w:tcPr>
          <w:p>
            <w:pPr>
              <w:spacing w:after="0" w:line="252" w:lineRule="auto"/>
            </w:pPr>
            <w:r/>
            <w:r>
              <w:rPr>
                <w:rFonts w:ascii="Aptos" w:hAnsi="Aptos" w:eastAsia="Aptos"/>
                <w:b w:val="0"/>
                <w:i w:val="0"/>
                <w:color w:val="201A17"/>
                <w:sz w:val="18"/>
              </w:rPr>
              <w:t>6 Oktober 2026</w:t>
            </w:r>
          </w:p>
        </w:tc>
        <w:tc>
          <w:tcPr>
            <w:tcW w:type="dxa" w:w="1008"/>
            <w:shd w:fill="F8F3EB"/>
            <w:tcMar>
              <w:top w:w="85" w:type="dxa"/>
              <w:start w:w="100" w:type="dxa"/>
              <w:bottom w:w="85" w:type="dxa"/>
              <w:end w:w="90" w:type="dxa"/>
            </w:tcMar>
          </w:tcPr>
          <w:p>
            <w:pPr>
              <w:spacing w:after="0" w:line="252" w:lineRule="auto"/>
            </w:pPr>
            <w:r/>
            <w:r>
              <w:rPr>
                <w:rFonts w:ascii="Aptos" w:hAnsi="Aptos" w:eastAsia="Aptos"/>
                <w:b/>
                <w:i w:val="0"/>
                <w:color w:val="72533D"/>
                <w:sz w:val="16"/>
              </w:rPr>
              <w:t>Status</w:t>
            </w:r>
          </w:p>
        </w:tc>
        <w:tc>
          <w:tcPr>
            <w:tcW w:type="dxa" w:w="4464"/>
            <w:tcMar>
              <w:top w:w="85" w:type="dxa"/>
              <w:start w:w="100" w:type="dxa"/>
              <w:bottom w:w="85" w:type="dxa"/>
              <w:end w:w="90" w:type="dxa"/>
            </w:tcMar>
          </w:tcPr>
          <w:p>
            <w:pPr>
              <w:spacing w:after="0" w:line="252" w:lineRule="auto"/>
            </w:pPr>
            <w:r/>
            <w:r>
              <w:rPr>
                <w:rFonts w:ascii="Aptos" w:hAnsi="Aptos" w:eastAsia="Aptos"/>
                <w:b w:val="0"/>
                <w:i w:val="0"/>
                <w:color w:val="201A17"/>
                <w:sz w:val="18"/>
              </w:rPr>
              <w:t>Draf komersial untuk ditelaah; belum final</w:t>
            </w:r>
          </w:p>
        </w:tc>
      </w:tr>
    </w:tbl>
    <w:p>
      <w:pPr>
        <w:spacing w:after="20"/>
      </w:pPr>
    </w:p>
    <w:p>
      <w:pPr>
        <w:spacing w:after="100" w:line="271" w:lineRule="auto"/>
      </w:pPr>
      <w:r>
        <w:rPr>
          <w:rFonts w:ascii="Aptos" w:hAnsi="Aptos" w:eastAsia="Aptos"/>
          <w:b/>
          <w:i w:val="0"/>
          <w:color w:val="201A17"/>
          <w:sz w:val="21"/>
        </w:rPr>
        <w:t>DRAF UNTUK DITELAAH.</w:t>
      </w:r>
      <w:r>
        <w:rPr>
          <w:rFonts w:ascii="Aptos" w:hAnsi="Aptos" w:eastAsia="Aptos"/>
          <w:b w:val="0"/>
          <w:i w:val="0"/>
          <w:color w:val="201A17"/>
          <w:sz w:val="21"/>
        </w:rPr>
        <w:t xml:space="preserve"> Lengkapi setiap bagian [isi], cocokkan dengan BRS-FD-01 dan Proposal Website Katalog, lalu minta pihak berwenang menelaah sebelum penandatanganan. Draf ini tidak menetapkan identitas, harga, jadwal, termin, atau masa dukungan yang belum disepakati.</w:t>
      </w:r>
    </w:p>
    <w:p>
      <w:pPr>
        <w:pStyle w:val="Heading1"/>
        <w:keepNext/>
        <w:spacing w:before="220" w:after="80"/>
      </w:pPr>
      <w:r>
        <w:rPr>
          <w:rFonts w:ascii="Aptos" w:hAnsi="Aptos" w:eastAsia="Aptos"/>
          <w:b/>
          <w:i w:val="0"/>
          <w:color w:val="000000"/>
          <w:sz w:val="28"/>
        </w:rPr>
        <w:t>1. Para pihak</w:t>
      </w:r>
    </w:p>
    <w:p>
      <w:pPr>
        <w:spacing w:after="100" w:line="271" w:lineRule="auto"/>
      </w:pPr>
      <w:r>
        <w:rPr>
          <w:rFonts w:ascii="Aptos" w:hAnsi="Aptos" w:eastAsia="Aptos"/>
          <w:b w:val="0"/>
          <w:i w:val="0"/>
          <w:color w:val="201A17"/>
          <w:sz w:val="21"/>
        </w:rPr>
        <w:t>Pada tanggal [tanggal] di [kota], para pihak berikut menyepakati jasa pembuatan/finalisasi website: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97"/>
        <w:gridCol w:w="4997"/>
      </w:tblGrid>
      <w:tr>
        <w:trPr>
          <w:tblHeader/>
        </w:trPr>
        <w:tc>
          <w:tcPr>
            <w:tcW w:type="dxa" w:w="4752"/>
            <w:vAlign w:val="center"/>
            <w:shd w:fill="72533D"/>
            <w:tcMar>
              <w:top w:w="125" w:type="dxa"/>
              <w:start w:w="120" w:type="dxa"/>
              <w:bottom w:w="125" w:type="dxa"/>
              <w:end w:w="120" w:type="dxa"/>
            </w:tcMar>
          </w:tcPr>
          <w:p>
            <w:pPr>
              <w:spacing w:after="0"/>
              <w:jc w:val="left"/>
            </w:pPr>
            <w:r>
              <w:rPr>
                <w:rFonts w:ascii="Aptos" w:hAnsi="Aptos" w:eastAsia="Aptos"/>
                <w:b/>
                <w:i w:val="0"/>
                <w:color w:val="FFFFFF"/>
                <w:sz w:val="17"/>
              </w:rPr>
              <w:t>Penyedia jasa</w:t>
            </w:r>
          </w:p>
        </w:tc>
        <w:tc>
          <w:tcPr>
            <w:tcW w:type="dxa" w:w="4752"/>
            <w:vAlign w:val="center"/>
            <w:shd w:fill="72533D"/>
            <w:tcMar>
              <w:top w:w="125" w:type="dxa"/>
              <w:start w:w="120" w:type="dxa"/>
              <w:bottom w:w="125" w:type="dxa"/>
              <w:end w:w="120" w:type="dxa"/>
            </w:tcMar>
          </w:tcPr>
          <w:p>
            <w:pPr>
              <w:spacing w:after="0"/>
              <w:jc w:val="left"/>
            </w:pPr>
            <w:r>
              <w:rPr>
                <w:rFonts w:ascii="Aptos" w:hAnsi="Aptos" w:eastAsia="Aptos"/>
                <w:b/>
                <w:i w:val="0"/>
                <w:color w:val="FFFFFF"/>
                <w:sz w:val="17"/>
              </w:rPr>
              <w:t>Klien</w:t>
            </w:r>
          </w:p>
        </w:tc>
      </w:tr>
      <w:tr>
        <w:tc>
          <w:tcPr>
            <w:tcW w:type="dxa" w:w="4752"/>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Badan usaha: [isi]</w:t>
              <w:br/>
              <w:t>Alamat: [isi]</w:t>
              <w:br/>
              <w:t>Diwakili: [isi]</w:t>
              <w:br/>
              <w:t>Jabatan: [isi]</w:t>
              <w:br/>
              <w:t>Identitas/registrasi bila perlu: [isi]</w:t>
            </w:r>
          </w:p>
        </w:tc>
        <w:tc>
          <w:tcPr>
            <w:tcW w:type="dxa" w:w="4752"/>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Badan usaha: [isi]</w:t>
              <w:br/>
              <w:t>Alamat: [isi]</w:t>
              <w:br/>
              <w:t>Diwakili: [isi]</w:t>
              <w:br/>
              <w:t>Jabatan: [isi]</w:t>
              <w:br/>
              <w:t>Identitas/registrasi bila perlu: [isi]</w:t>
            </w:r>
          </w:p>
        </w:tc>
      </w:tr>
    </w:tbl>
    <w:p>
      <w:pPr>
        <w:spacing w:after="20"/>
      </w:pPr>
    </w:p>
    <w:p>
      <w:pPr>
        <w:spacing w:after="100" w:line="271" w:lineRule="auto"/>
      </w:pPr>
      <w:r>
        <w:rPr>
          <w:rFonts w:ascii="Aptos" w:hAnsi="Aptos" w:eastAsia="Aptos"/>
          <w:b w:val="0"/>
          <w:i w:val="0"/>
          <w:color w:val="201A17"/>
          <w:sz w:val="21"/>
        </w:rPr>
        <w:t>Penyedia dan Klien selanjutnya disebut secara bersama sebagai Para Pihak.</w:t>
      </w:r>
    </w:p>
    <w:p>
      <w:pPr>
        <w:pStyle w:val="Heading1"/>
        <w:keepNext/>
        <w:spacing w:before="220" w:after="80"/>
      </w:pPr>
      <w:r>
        <w:rPr>
          <w:rFonts w:ascii="Aptos" w:hAnsi="Aptos" w:eastAsia="Aptos"/>
          <w:b/>
          <w:i w:val="0"/>
          <w:color w:val="000000"/>
          <w:sz w:val="28"/>
        </w:rPr>
        <w:t>2. Dokumen acuan dan ruang lingkup</w:t>
      </w:r>
    </w:p>
    <w:p>
      <w:pPr>
        <w:spacing w:after="100" w:line="271" w:lineRule="auto"/>
      </w:pPr>
      <w:r>
        <w:rPr>
          <w:rFonts w:ascii="Aptos" w:hAnsi="Aptos" w:eastAsia="Aptos"/>
          <w:b w:val="0"/>
          <w:i w:val="0"/>
          <w:color w:val="201A17"/>
          <w:sz w:val="21"/>
        </w:rPr>
        <w:t>Penyedia melaksanakan pekerjaan berdasarkan BRS-FD-01 versi [isi] dan Proposal Website Katalog versi [isi], yang menjadi lampiran setelah disetujui Para Pihak.</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97"/>
        <w:gridCol w:w="4997"/>
      </w:tblGrid>
      <w:tr>
        <w:trPr>
          <w:tblHeader/>
        </w:trPr>
        <w:tc>
          <w:tcPr>
            <w:tcW w:type="dxa" w:w="4752"/>
            <w:vAlign w:val="center"/>
            <w:shd w:fill="72533D"/>
            <w:tcMar>
              <w:top w:w="125" w:type="dxa"/>
              <w:start w:w="120" w:type="dxa"/>
              <w:bottom w:w="125" w:type="dxa"/>
              <w:end w:w="120" w:type="dxa"/>
            </w:tcMar>
          </w:tcPr>
          <w:p>
            <w:pPr>
              <w:spacing w:after="0"/>
              <w:jc w:val="left"/>
            </w:pPr>
            <w:r>
              <w:rPr>
                <w:rFonts w:ascii="Aptos" w:hAnsi="Aptos" w:eastAsia="Aptos"/>
                <w:b/>
                <w:i w:val="0"/>
                <w:color w:val="FFFFFF"/>
                <w:sz w:val="16"/>
              </w:rPr>
              <w:t>Termasuk</w:t>
            </w:r>
          </w:p>
        </w:tc>
        <w:tc>
          <w:tcPr>
            <w:tcW w:type="dxa" w:w="4752"/>
            <w:vAlign w:val="center"/>
            <w:shd w:fill="72533D"/>
            <w:tcMar>
              <w:top w:w="125" w:type="dxa"/>
              <w:start w:w="120" w:type="dxa"/>
              <w:bottom w:w="125" w:type="dxa"/>
              <w:end w:w="120" w:type="dxa"/>
            </w:tcMar>
          </w:tcPr>
          <w:p>
            <w:pPr>
              <w:spacing w:after="0"/>
              <w:jc w:val="left"/>
            </w:pPr>
            <w:r>
              <w:rPr>
                <w:rFonts w:ascii="Aptos" w:hAnsi="Aptos" w:eastAsia="Aptos"/>
                <w:b/>
                <w:i w:val="0"/>
                <w:color w:val="FFFFFF"/>
                <w:sz w:val="16"/>
              </w:rPr>
              <w:t>Tidak termasuk tanpa persetujuan perubahan</w:t>
            </w:r>
          </w:p>
        </w:tc>
      </w:tr>
      <w:tr>
        <w:tc>
          <w:tcPr>
            <w:tcW w:type="dxa" w:w="4752"/>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Beranda, navigasi, Cerita Kami, kategori Minuman/Kue, pencarian, kartu produk, pilihan harga 250 ml/1 L, tautan WhatsApp, review, video review, poster, footer, responsif.</w:t>
            </w:r>
          </w:p>
        </w:tc>
        <w:tc>
          <w:tcPr>
            <w:tcW w:type="dxa" w:w="4752"/>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6"/>
              </w:rPr>
              <w:t>Keranjang, checkout, payment gateway, stok/pesanan, admin, WhatsApp API/chatbot, database, foto khusus 1 L, identitas brand baru, konten legal, pemasaran.</w:t>
            </w:r>
          </w:p>
        </w:tc>
      </w:tr>
      <w:tr>
        <w:tc>
          <w:tcPr>
            <w:tcW w:type="dxa" w:w="4752"/>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6"/>
              </w:rPr>
              <w:t>Pemasangan dan pemeriksaan fungsi sesuai BRS serta BA.</w:t>
            </w:r>
          </w:p>
        </w:tc>
        <w:tc>
          <w:tcPr>
            <w:tcW w:type="dxa" w:w="4752"/>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6"/>
              </w:rPr>
              <w:t>Pekerjaan di luar BRS/proposal, biaya layanan pihak ketiga, pemeliharaan setelah masa garansi.</w:t>
            </w:r>
          </w:p>
        </w:tc>
      </w:tr>
    </w:tbl>
    <w:p>
      <w:pPr>
        <w:spacing w:after="20"/>
      </w:pPr>
    </w:p>
    <w:p>
      <w:pPr>
        <w:spacing w:after="100" w:line="271" w:lineRule="auto"/>
      </w:pPr>
      <w:r>
        <w:rPr>
          <w:rFonts w:ascii="Aptos" w:hAnsi="Aptos" w:eastAsia="Aptos"/>
          <w:b w:val="0"/>
          <w:i w:val="0"/>
          <w:color w:val="201A17"/>
          <w:sz w:val="21"/>
        </w:rPr>
        <w:t>Perubahan ruang lingkup berlaku setelah disetujui tertulis dan menjelaskan biaya, perubahan jadwal, serta hasil yang diubah.</w:t>
      </w:r>
    </w:p>
    <w:p>
      <w:pPr>
        <w:pStyle w:val="Heading1"/>
        <w:keepNext/>
        <w:spacing w:before="220" w:after="80"/>
      </w:pPr>
      <w:r>
        <w:rPr>
          <w:rFonts w:ascii="Aptos" w:hAnsi="Aptos" w:eastAsia="Aptos"/>
          <w:b/>
          <w:i w:val="0"/>
          <w:color w:val="000000"/>
          <w:sz w:val="28"/>
        </w:rPr>
        <w:t>3. Jadwal dan ketergantungan</w:t>
      </w:r>
    </w:p>
    <w:p>
      <w:pPr>
        <w:spacing w:after="100" w:line="271" w:lineRule="auto"/>
      </w:pPr>
      <w:r>
        <w:rPr>
          <w:rFonts w:ascii="Aptos" w:hAnsi="Aptos" w:eastAsia="Aptos"/>
          <w:b w:val="0"/>
          <w:i w:val="0"/>
          <w:color w:val="201A17"/>
          <w:sz w:val="21"/>
        </w:rPr>
        <w:t>Mulai: [tanggal]. Target selesai: [tanggal]. Pekerjaan dimulai setelah [syarat mulai, misalnya pembayaran awal dan materi lengkap] terpenuhi. Keterlambatan persetujuan, materi, akses, atau keputusan Klien dapat mengubah jadwal; perubahan dicatat tertulis.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31"/>
        <w:gridCol w:w="3331"/>
        <w:gridCol w:w="3331"/>
      </w:tblGrid>
      <w:tr>
        <w:trPr>
          <w:tblHeader/>
        </w:trPr>
        <w:tc>
          <w:tcPr>
            <w:tcW w:type="dxa" w:w="2520"/>
            <w:vAlign w:val="center"/>
            <w:shd w:fill="72533D"/>
            <w:tcMar>
              <w:top w:w="125" w:type="dxa"/>
              <w:start w:w="120" w:type="dxa"/>
              <w:bottom w:w="125" w:type="dxa"/>
              <w:end w:w="120" w:type="dxa"/>
            </w:tcMar>
          </w:tcPr>
          <w:p>
            <w:pPr>
              <w:spacing w:after="0"/>
              <w:jc w:val="left"/>
            </w:pPr>
            <w:r>
              <w:rPr>
                <w:rFonts w:ascii="Aptos" w:hAnsi="Aptos" w:eastAsia="Aptos"/>
                <w:b/>
                <w:i w:val="0"/>
                <w:color w:val="FFFFFF"/>
                <w:sz w:val="17"/>
              </w:rPr>
              <w:t>Tahap</w:t>
            </w:r>
          </w:p>
        </w:tc>
        <w:tc>
          <w:tcPr>
            <w:tcW w:type="dxa" w:w="1656"/>
            <w:vAlign w:val="center"/>
            <w:shd w:fill="72533D"/>
            <w:tcMar>
              <w:top w:w="125" w:type="dxa"/>
              <w:start w:w="120" w:type="dxa"/>
              <w:bottom w:w="125" w:type="dxa"/>
              <w:end w:w="120" w:type="dxa"/>
            </w:tcMar>
          </w:tcPr>
          <w:p>
            <w:pPr>
              <w:spacing w:after="0"/>
              <w:jc w:val="left"/>
            </w:pPr>
            <w:r>
              <w:rPr>
                <w:rFonts w:ascii="Aptos" w:hAnsi="Aptos" w:eastAsia="Aptos"/>
                <w:b/>
                <w:i w:val="0"/>
                <w:color w:val="FFFFFF"/>
                <w:sz w:val="17"/>
              </w:rPr>
              <w:t>Target</w:t>
            </w:r>
          </w:p>
        </w:tc>
        <w:tc>
          <w:tcPr>
            <w:tcW w:type="dxa" w:w="5328"/>
            <w:vAlign w:val="center"/>
            <w:shd w:fill="72533D"/>
            <w:tcMar>
              <w:top w:w="125" w:type="dxa"/>
              <w:start w:w="120" w:type="dxa"/>
              <w:bottom w:w="125" w:type="dxa"/>
              <w:end w:w="120" w:type="dxa"/>
            </w:tcMar>
          </w:tcPr>
          <w:p>
            <w:pPr>
              <w:spacing w:after="0"/>
              <w:jc w:val="left"/>
            </w:pPr>
            <w:r>
              <w:rPr>
                <w:rFonts w:ascii="Aptos" w:hAnsi="Aptos" w:eastAsia="Aptos"/>
                <w:b/>
                <w:i w:val="0"/>
                <w:color w:val="FFFFFF"/>
                <w:sz w:val="17"/>
              </w:rPr>
              <w:t>Keluaran</w:t>
            </w:r>
          </w:p>
        </w:tc>
      </w:tr>
      <w:tr>
        <w:tc>
          <w:tcPr>
            <w:tcW w:type="dxa" w:w="2520"/>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Validasi BRS/katalog</w:t>
            </w:r>
          </w:p>
        </w:tc>
        <w:tc>
          <w:tcPr>
            <w:tcW w:type="dxa" w:w="1656"/>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[tanggal]</w:t>
            </w:r>
          </w:p>
        </w:tc>
        <w:tc>
          <w:tcPr>
            <w:tcW w:type="dxa" w:w="5328"/>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BRS, harga/katalog dan kontak disetujui.</w:t>
            </w:r>
          </w:p>
        </w:tc>
      </w:tr>
      <w:tr>
        <w:tc>
          <w:tcPr>
            <w:tcW w:type="dxa" w:w="2520"/>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7"/>
              </w:rPr>
              <w:t>Penyelarasan visual</w:t>
            </w:r>
          </w:p>
        </w:tc>
        <w:tc>
          <w:tcPr>
            <w:tcW w:type="dxa" w:w="1656"/>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7"/>
              </w:rPr>
              <w:t>[tanggal]</w:t>
            </w:r>
          </w:p>
        </w:tc>
        <w:tc>
          <w:tcPr>
            <w:tcW w:type="dxa" w:w="5328"/>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7"/>
              </w:rPr>
              <w:t>Arah visual dan aset disetujui.</w:t>
            </w:r>
          </w:p>
        </w:tc>
      </w:tr>
      <w:tr>
        <w:tc>
          <w:tcPr>
            <w:tcW w:type="dxa" w:w="2520"/>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Uji terima</w:t>
            </w:r>
          </w:p>
        </w:tc>
        <w:tc>
          <w:tcPr>
            <w:tcW w:type="dxa" w:w="1656"/>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[tanggal]</w:t>
            </w:r>
          </w:p>
        </w:tc>
        <w:tc>
          <w:tcPr>
            <w:tcW w:type="dxa" w:w="5328"/>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BA UAT dan daftar temuan.</w:t>
            </w:r>
          </w:p>
        </w:tc>
      </w:tr>
      <w:tr>
        <w:tc>
          <w:tcPr>
            <w:tcW w:type="dxa" w:w="2520"/>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7"/>
              </w:rPr>
              <w:t>Publikasi/serah terima</w:t>
            </w:r>
          </w:p>
        </w:tc>
        <w:tc>
          <w:tcPr>
            <w:tcW w:type="dxa" w:w="1656"/>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7"/>
              </w:rPr>
              <w:t>[tanggal]</w:t>
            </w:r>
          </w:p>
        </w:tc>
        <w:tc>
          <w:tcPr>
            <w:tcW w:type="dxa" w:w="5328"/>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7"/>
              </w:rPr>
              <w:t>Website aktif dan akses diserahkan.</w:t>
            </w:r>
          </w:p>
        </w:tc>
      </w:tr>
    </w:tbl>
    <w:p>
      <w:pPr>
        <w:spacing w:after="20"/>
      </w:pPr>
    </w:p>
    <w:p>
      <w:pPr>
        <w:pStyle w:val="Heading1"/>
        <w:keepNext/>
        <w:spacing w:before="220" w:after="80"/>
      </w:pPr>
      <w:r>
        <w:rPr>
          <w:rFonts w:ascii="Aptos" w:hAnsi="Aptos" w:eastAsia="Aptos"/>
          <w:b/>
          <w:i w:val="0"/>
          <w:color w:val="000000"/>
          <w:sz w:val="28"/>
        </w:rPr>
        <w:t>4. Biaya dan pembayaran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97"/>
        <w:gridCol w:w="4997"/>
      </w:tblGrid>
      <w:tr>
        <w:trPr>
          <w:tblHeader/>
        </w:trPr>
        <w:tc>
          <w:tcPr>
            <w:tcW w:type="dxa" w:w="3096"/>
            <w:vAlign w:val="center"/>
            <w:shd w:fill="72533D"/>
            <w:tcMar>
              <w:top w:w="125" w:type="dxa"/>
              <w:start w:w="120" w:type="dxa"/>
              <w:bottom w:w="125" w:type="dxa"/>
              <w:end w:w="120" w:type="dxa"/>
            </w:tcMar>
          </w:tcPr>
          <w:p>
            <w:pPr>
              <w:spacing w:after="0"/>
              <w:jc w:val="left"/>
            </w:pPr>
            <w:r>
              <w:rPr>
                <w:rFonts w:ascii="Aptos" w:hAnsi="Aptos" w:eastAsia="Aptos"/>
                <w:b/>
                <w:i w:val="0"/>
                <w:color w:val="FFFFFF"/>
                <w:sz w:val="17"/>
              </w:rPr>
              <w:t>Komponen</w:t>
            </w:r>
          </w:p>
        </w:tc>
        <w:tc>
          <w:tcPr>
            <w:tcW w:type="dxa" w:w="6408"/>
            <w:vAlign w:val="center"/>
            <w:shd w:fill="72533D"/>
            <w:tcMar>
              <w:top w:w="125" w:type="dxa"/>
              <w:start w:w="120" w:type="dxa"/>
              <w:bottom w:w="125" w:type="dxa"/>
              <w:end w:w="120" w:type="dxa"/>
            </w:tcMar>
          </w:tcPr>
          <w:p>
            <w:pPr>
              <w:spacing w:after="0"/>
              <w:jc w:val="left"/>
            </w:pPr>
            <w:r>
              <w:rPr>
                <w:rFonts w:ascii="Aptos" w:hAnsi="Aptos" w:eastAsia="Aptos"/>
                <w:b/>
                <w:i w:val="0"/>
                <w:color w:val="FFFFFF"/>
                <w:sz w:val="17"/>
              </w:rPr>
              <w:t>Nilai / ketentuan</w:t>
            </w:r>
          </w:p>
        </w:tc>
      </w:tr>
      <w:tr>
        <w:tc>
          <w:tcPr>
            <w:tcW w:type="dxa" w:w="3096"/>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Jasa total</w:t>
            </w:r>
          </w:p>
        </w:tc>
        <w:tc>
          <w:tcPr>
            <w:tcW w:type="dxa" w:w="6408"/>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Rp [isi]</w:t>
            </w:r>
          </w:p>
        </w:tc>
      </w:tr>
      <w:tr>
        <w:tc>
          <w:tcPr>
            <w:tcW w:type="dxa" w:w="3096"/>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7"/>
              </w:rPr>
              <w:t>Pembayaran awal</w:t>
            </w:r>
          </w:p>
        </w:tc>
        <w:tc>
          <w:tcPr>
            <w:tcW w:type="dxa" w:w="6408"/>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7"/>
              </w:rPr>
              <w:t>[persentase] / Rp [isi], jatuh tempo [isi]</w:t>
            </w:r>
          </w:p>
        </w:tc>
      </w:tr>
      <w:tr>
        <w:tc>
          <w:tcPr>
            <w:tcW w:type="dxa" w:w="3096"/>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Pembayaran tahap berikut</w:t>
            </w:r>
          </w:p>
        </w:tc>
        <w:tc>
          <w:tcPr>
            <w:tcW w:type="dxa" w:w="6408"/>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[tahap, nilai, tanggal]</w:t>
            </w:r>
          </w:p>
        </w:tc>
      </w:tr>
      <w:tr>
        <w:tc>
          <w:tcPr>
            <w:tcW w:type="dxa" w:w="3096"/>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7"/>
              </w:rPr>
              <w:t>Pembayaran akhir</w:t>
            </w:r>
          </w:p>
        </w:tc>
        <w:tc>
          <w:tcPr>
            <w:tcW w:type="dxa" w:w="6408"/>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7"/>
              </w:rPr>
              <w:t>[persentase] / Rp [isi], setelah [kriteria]</w:t>
            </w:r>
          </w:p>
        </w:tc>
      </w:tr>
      <w:tr>
        <w:tc>
          <w:tcPr>
            <w:tcW w:type="dxa" w:w="3096"/>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Pajak</w:t>
            </w:r>
          </w:p>
        </w:tc>
        <w:tc>
          <w:tcPr>
            <w:tcW w:type="dxa" w:w="6408"/>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7"/>
              </w:rPr>
              <w:t>[termasuk/tidak termasuk; rincian]</w:t>
            </w:r>
          </w:p>
        </w:tc>
      </w:tr>
      <w:tr>
        <w:tc>
          <w:tcPr>
            <w:tcW w:type="dxa" w:w="3096"/>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7"/>
              </w:rPr>
              <w:t>Biaya pihak ketiga</w:t>
            </w:r>
          </w:p>
        </w:tc>
        <w:tc>
          <w:tcPr>
            <w:tcW w:type="dxa" w:w="6408"/>
            <w:vAlign w:val="center"/>
            <w:tcMar>
              <w:top w:w="110" w:type="dxa"/>
              <w:start w:w="120" w:type="dxa"/>
              <w:bottom w:w="110" w:type="dxa"/>
              <w:end w:w="120" w:type="dxa"/>
            </w:tcMar>
            <w:shd w:fill="F4F0EA"/>
          </w:tcPr>
          <w:p>
            <w:pPr>
              <w:spacing w:after="0" w:line="252" w:lineRule="auto"/>
              <w:jc w:val="left"/>
            </w:pPr>
            <w:r>
              <w:rPr>
                <w:rFonts w:ascii="Aptos" w:hAnsi="Aptos" w:eastAsia="Aptos"/>
                <w:b w:val="0"/>
                <w:i w:val="0"/>
                <w:color w:val="201A17"/>
                <w:sz w:val="17"/>
              </w:rPr>
              <w:t>Domain/hosting/email dibayar oleh [pihak] sesuai paket yang disetujui.</w:t>
            </w:r>
          </w:p>
        </w:tc>
      </w:tr>
    </w:tbl>
    <w:p>
      <w:pPr>
        <w:spacing w:after="20"/>
      </w:pPr>
    </w:p>
    <w:p>
      <w:pPr>
        <w:spacing w:after="100" w:line="271" w:lineRule="auto"/>
      </w:pPr>
      <w:r>
        <w:rPr>
          <w:rFonts w:ascii="Aptos" w:hAnsi="Aptos" w:eastAsia="Aptos"/>
          <w:b w:val="0"/>
          <w:i w:val="0"/>
          <w:color w:val="201A17"/>
          <w:sz w:val="21"/>
        </w:rPr>
        <w:t>Estimasi domain/hosting di proposal hanya referensi; tagihan akhir ditentukan provider pada saat pembelian/perpanjangan. Akun layanan didaftarkan atas nama Klien kecuali disepakati lain.</w:t>
      </w:r>
    </w:p>
    <w:p>
      <w:pPr>
        <w:pStyle w:val="Heading1"/>
        <w:keepNext/>
        <w:spacing w:before="220" w:after="80"/>
      </w:pPr>
      <w:r>
        <w:rPr>
          <w:rFonts w:ascii="Aptos" w:hAnsi="Aptos" w:eastAsia="Aptos"/>
          <w:b/>
          <w:i w:val="0"/>
          <w:color w:val="000000"/>
          <w:sz w:val="28"/>
        </w:rPr>
        <w:t>5. Kewajiban Para Pihak</w:t>
      </w:r>
    </w:p>
    <w:p>
      <w:pPr>
        <w:pStyle w:val="Heading2"/>
        <w:keepNext/>
        <w:spacing w:before="140" w:after="80"/>
      </w:pPr>
      <w:r>
        <w:rPr>
          <w:rFonts w:ascii="Aptos" w:hAnsi="Aptos" w:eastAsia="Aptos"/>
          <w:b/>
          <w:i w:val="0"/>
          <w:color w:val="000000"/>
          <w:sz w:val="23"/>
        </w:rPr>
        <w:t>Penyedia</w:t>
      </w:r>
    </w:p>
    <w:p>
      <w:pPr>
        <w:pStyle w:val="ListBullet"/>
        <w:spacing w:after="60" w:line="259" w:lineRule="auto"/>
      </w:pPr>
      <w:r>
        <w:rPr>
          <w:rFonts w:ascii="Aptos" w:hAnsi="Aptos" w:eastAsia="Aptos"/>
          <w:b w:val="0"/>
          <w:i w:val="0"/>
          <w:color w:val="201A17"/>
          <w:sz w:val="20"/>
        </w:rPr>
        <w:t>Mengerjakan fungsi sesuai acuan dan memberi tahu kebutuhan materi/persetujuan.</w:t>
      </w:r>
    </w:p>
    <w:p>
      <w:pPr>
        <w:pStyle w:val="ListBullet"/>
        <w:spacing w:after="60" w:line="259" w:lineRule="auto"/>
      </w:pPr>
      <w:r>
        <w:rPr>
          <w:rFonts w:ascii="Aptos" w:hAnsi="Aptos" w:eastAsia="Aptos"/>
          <w:b w:val="0"/>
          <w:i w:val="0"/>
          <w:color w:val="201A17"/>
          <w:sz w:val="20"/>
        </w:rPr>
        <w:t>Memberi kesempatan Klien memeriksa hasil melalui UAT dan mencatat temuan dalam BA.</w:t>
      </w:r>
    </w:p>
    <w:p>
      <w:pPr>
        <w:pStyle w:val="ListBullet"/>
        <w:spacing w:after="60" w:line="259" w:lineRule="auto"/>
      </w:pPr>
      <w:r>
        <w:rPr>
          <w:rFonts w:ascii="Aptos" w:hAnsi="Aptos" w:eastAsia="Aptos"/>
          <w:b w:val="0"/>
          <w:i w:val="0"/>
          <w:color w:val="201A17"/>
          <w:sz w:val="20"/>
        </w:rPr>
        <w:t>Menyerahkan berkas yang disepakati setelah kewajiban pembayaran dipenuhi.</w:t>
      </w:r>
    </w:p>
    <w:p>
      <w:pPr>
        <w:pStyle w:val="Heading2"/>
        <w:keepNext/>
        <w:spacing w:before="140" w:after="80"/>
      </w:pPr>
      <w:r>
        <w:rPr>
          <w:rFonts w:ascii="Aptos" w:hAnsi="Aptos" w:eastAsia="Aptos"/>
          <w:b/>
          <w:i w:val="0"/>
          <w:color w:val="000000"/>
          <w:sz w:val="23"/>
        </w:rPr>
        <w:t>Klien</w:t>
      </w:r>
    </w:p>
    <w:p>
      <w:pPr>
        <w:pStyle w:val="ListBullet"/>
        <w:spacing w:after="60" w:line="259" w:lineRule="auto"/>
      </w:pPr>
      <w:r>
        <w:rPr>
          <w:rFonts w:ascii="Aptos" w:hAnsi="Aptos" w:eastAsia="Aptos"/>
          <w:b w:val="0"/>
          <w:i w:val="0"/>
          <w:color w:val="201A17"/>
          <w:sz w:val="20"/>
        </w:rPr>
        <w:t>Menyediakan harga, foto, deskripsi, cerita, nomor WhatsApp, dan hak penggunaan aset yang benar.</w:t>
      </w:r>
    </w:p>
    <w:p>
      <w:pPr>
        <w:pStyle w:val="ListBullet"/>
        <w:spacing w:after="60" w:line="259" w:lineRule="auto"/>
      </w:pPr>
      <w:r>
        <w:rPr>
          <w:rFonts w:ascii="Aptos" w:hAnsi="Aptos" w:eastAsia="Aptos"/>
          <w:b w:val="0"/>
          <w:i w:val="0"/>
          <w:color w:val="201A17"/>
          <w:sz w:val="20"/>
        </w:rPr>
        <w:t>Menunjuk satu penanggung jawab dan memberi umpan balik terkonsolidasi dalam [jumlah] hari kerja.</w:t>
      </w:r>
    </w:p>
    <w:p>
      <w:pPr>
        <w:pStyle w:val="ListBullet"/>
        <w:spacing w:after="60" w:line="259" w:lineRule="auto"/>
      </w:pPr>
      <w:r>
        <w:rPr>
          <w:rFonts w:ascii="Aptos" w:hAnsi="Aptos" w:eastAsia="Aptos"/>
          <w:b w:val="0"/>
          <w:i w:val="0"/>
          <w:color w:val="201A17"/>
          <w:sz w:val="20"/>
        </w:rPr>
        <w:t>Memiliki/membayar domain, hosting, WhatsApp, email, dan layanan pihak ketiga sesuai pilihan.</w:t>
      </w:r>
    </w:p>
    <w:p>
      <w:pPr>
        <w:pStyle w:val="ListBullet"/>
        <w:spacing w:after="60" w:line="259" w:lineRule="auto"/>
      </w:pPr>
      <w:r>
        <w:rPr>
          <w:rFonts w:ascii="Aptos" w:hAnsi="Aptos" w:eastAsia="Aptos"/>
          <w:b w:val="0"/>
          <w:i w:val="0"/>
          <w:color w:val="201A17"/>
          <w:sz w:val="20"/>
        </w:rPr>
        <w:t>Mengelola transaksi, stok, pembayaran, pengiriman, dan kesepakatan pelanggan melalui WhatsApp.</w:t>
      </w:r>
    </w:p>
    <w:p>
      <w:pPr>
        <w:pStyle w:val="Heading1"/>
        <w:keepNext/>
        <w:spacing w:before="220" w:after="80"/>
      </w:pPr>
      <w:r>
        <w:rPr>
          <w:rFonts w:ascii="Aptos" w:hAnsi="Aptos" w:eastAsia="Aptos"/>
          <w:b/>
          <w:i w:val="0"/>
          <w:color w:val="000000"/>
          <w:sz w:val="28"/>
        </w:rPr>
        <w:t>6. Pemeriksaan dan penerimaan</w:t>
      </w:r>
    </w:p>
    <w:p>
      <w:pPr>
        <w:spacing w:after="100" w:line="271" w:lineRule="auto"/>
      </w:pPr>
      <w:r>
        <w:rPr>
          <w:rFonts w:ascii="Aptos" w:hAnsi="Aptos" w:eastAsia="Aptos"/>
          <w:b w:val="0"/>
          <w:i w:val="0"/>
          <w:color w:val="201A17"/>
          <w:sz w:val="21"/>
        </w:rPr>
        <w:t>Klien memeriksa website terhadap kriteria BRS dalam [jumlah] hari kerja setelah pemberitahuan siap UAT. Hasil dicatat dalam BA. Temuan yang berada dalam ruang lingkup diperbaiki sesuai prioritas dan jadwal yang disetujui. Perubahan fitur atau materi setelah BRS disetujui diproses sebagai perubahan ruang lingkup.</w:t>
      </w:r>
    </w:p>
    <w:p>
      <w:pPr>
        <w:spacing w:after="100" w:line="271" w:lineRule="auto"/>
      </w:pPr>
      <w:r>
        <w:rPr>
          <w:rFonts w:ascii="Aptos" w:hAnsi="Aptos" w:eastAsia="Aptos"/>
          <w:b w:val="0"/>
          <w:i w:val="0"/>
          <w:color w:val="201A17"/>
          <w:sz w:val="21"/>
        </w:rPr>
        <w:t>Penerimaan terjadi setelah BA ditandatangani atau melalui mekanisme penerimaan lain yang disepakati secara eksplisit: [isi].</w:t>
      </w:r>
    </w:p>
    <w:p>
      <w:pPr>
        <w:pStyle w:val="Heading1"/>
        <w:keepNext/>
        <w:spacing w:before="220" w:after="80"/>
      </w:pPr>
      <w:r>
        <w:rPr>
          <w:rFonts w:ascii="Aptos" w:hAnsi="Aptos" w:eastAsia="Aptos"/>
          <w:b/>
          <w:i w:val="0"/>
          <w:color w:val="000000"/>
          <w:sz w:val="28"/>
        </w:rPr>
        <w:t>7. Revisi, garansi, dan pemeliharaan</w:t>
      </w:r>
    </w:p>
    <w:p>
      <w:pPr>
        <w:spacing w:after="100" w:line="271" w:lineRule="auto"/>
      </w:pPr>
      <w:r>
        <w:rPr>
          <w:rFonts w:ascii="Aptos" w:hAnsi="Aptos" w:eastAsia="Aptos"/>
          <w:b w:val="0"/>
          <w:i w:val="0"/>
          <w:color w:val="201A17"/>
          <w:sz w:val="21"/>
        </w:rPr>
        <w:t>Putaran revisi yang termasuk jasa: [jumlah]. Masa koreksi cacat terhadap BRS: [jumlah] hari sejak serah terima. Garansi tidak mencakup perubahan harga/konten, gangguan domain/hosting/aplikasi pihak ketiga, akses atau perubahan oleh pihak lain, dan fitur baru.</w:t>
      </w:r>
    </w:p>
    <w:p>
      <w:pPr>
        <w:spacing w:after="100" w:line="271" w:lineRule="auto"/>
      </w:pPr>
      <w:r>
        <w:rPr>
          <w:rFonts w:ascii="Aptos" w:hAnsi="Aptos" w:eastAsia="Aptos"/>
          <w:b w:val="0"/>
          <w:i w:val="0"/>
          <w:color w:val="201A17"/>
          <w:sz w:val="21"/>
        </w:rPr>
        <w:t>Pemeliharaan setelah masa garansi: [tidak termasuk / Rp ... per bulan/tahun]. Batas pekerjaan, waktu respons, jam layanan, backup, dan pembaruan harus disepakati sebelum tanda tangan.</w:t>
      </w:r>
    </w:p>
    <w:p>
      <w:pPr>
        <w:pStyle w:val="Heading1"/>
        <w:keepNext/>
        <w:spacing w:before="220" w:after="80"/>
      </w:pPr>
      <w:r>
        <w:rPr>
          <w:rFonts w:ascii="Aptos" w:hAnsi="Aptos" w:eastAsia="Aptos"/>
          <w:b/>
          <w:i w:val="0"/>
          <w:color w:val="000000"/>
          <w:sz w:val="28"/>
        </w:rPr>
        <w:t>8. Kepemilikan, lisensi, dan akun</w:t>
      </w:r>
    </w:p>
    <w:p>
      <w:pPr>
        <w:spacing w:after="100" w:line="271" w:lineRule="auto"/>
      </w:pPr>
      <w:r>
        <w:rPr>
          <w:rFonts w:ascii="Aptos" w:hAnsi="Aptos" w:eastAsia="Aptos"/>
          <w:b w:val="0"/>
          <w:i w:val="0"/>
          <w:color w:val="201A17"/>
          <w:sz w:val="21"/>
        </w:rPr>
        <w:t>Setelah pembayaran penuh, hak atas kode khusus proyek [dialihkan kepada Klien / diberikan sebagai lisensi penggunaan dengan rincian: ...]. Komponen open-source, font, foto stok, dan layanan pihak ketiga tunduk pada lisensi masing-masing. Pihak penyedia aset memastikan hak penggunaannya sesuai kesepakatan.</w:t>
      </w:r>
    </w:p>
    <w:p>
      <w:pPr>
        <w:spacing w:after="100" w:line="271" w:lineRule="auto"/>
      </w:pPr>
      <w:r>
        <w:rPr>
          <w:rFonts w:ascii="Aptos" w:hAnsi="Aptos" w:eastAsia="Aptos"/>
          <w:b w:val="0"/>
          <w:i w:val="0"/>
          <w:color w:val="201A17"/>
          <w:sz w:val="21"/>
        </w:rPr>
        <w:t>Domain/hosting didaftarkan atas nama Klien dan menggunakan kontak pemulihan yang dikuasai Klien. Kredensial tidak dicantumkan dalam dokumen; penyerahan dilakukan lewat kanal aman. Biaya perpanjangan setelah [tanggal] menjadi tanggung jawab [pihak].</w:t>
      </w:r>
    </w:p>
    <w:p>
      <w:pPr>
        <w:pStyle w:val="Heading1"/>
        <w:keepNext/>
        <w:spacing w:before="220" w:after="80"/>
      </w:pPr>
      <w:r>
        <w:rPr>
          <w:rFonts w:ascii="Aptos" w:hAnsi="Aptos" w:eastAsia="Aptos"/>
          <w:b/>
          <w:i w:val="0"/>
          <w:color w:val="000000"/>
          <w:sz w:val="28"/>
        </w:rPr>
        <w:t>9. Kerahasiaan dan data pelanggan</w:t>
      </w:r>
    </w:p>
    <w:p>
      <w:pPr>
        <w:spacing w:after="100" w:line="271" w:lineRule="auto"/>
      </w:pPr>
      <w:r>
        <w:rPr>
          <w:rFonts w:ascii="Aptos" w:hAnsi="Aptos" w:eastAsia="Aptos"/>
          <w:b w:val="0"/>
          <w:i w:val="0"/>
          <w:color w:val="201A17"/>
          <w:sz w:val="21"/>
        </w:rPr>
        <w:t>Para Pihak menjaga informasi nonpublik dan menggunakannya untuk pekerjaan ini. Website versi saat ini tidak menyediakan database pesanan atau akun pelanggan. Saat tombol WhatsApp dipakai, pelanggan berinteraksi pada layanan WhatsApp sesuai ketentuan layanan tersebut. Perubahan pemrosesan data memerlukan kajian dan persetujuan terpisah.</w:t>
      </w:r>
    </w:p>
    <w:p>
      <w:pPr>
        <w:pStyle w:val="Heading1"/>
        <w:keepNext/>
        <w:spacing w:before="220" w:after="80"/>
      </w:pPr>
      <w:r>
        <w:rPr>
          <w:rFonts w:ascii="Aptos" w:hAnsi="Aptos" w:eastAsia="Aptos"/>
          <w:b/>
          <w:i w:val="0"/>
          <w:color w:val="000000"/>
          <w:sz w:val="28"/>
        </w:rPr>
        <w:t>10. Penundaan dan pengakhiran</w:t>
      </w:r>
    </w:p>
    <w:p>
      <w:pPr>
        <w:spacing w:after="100" w:line="271" w:lineRule="auto"/>
      </w:pPr>
      <w:r>
        <w:rPr>
          <w:rFonts w:ascii="Aptos" w:hAnsi="Aptos" w:eastAsia="Aptos"/>
          <w:b w:val="0"/>
          <w:i w:val="0"/>
          <w:color w:val="201A17"/>
          <w:sz w:val="21"/>
        </w:rPr>
        <w:t>Jika pihak lain tidak memenuhi kewajiban material, pihak yang terdampak mengirim pemberitahuan tertulis dan memberikan waktu perbaikan [jumlah] hari. Pengakhiran, pembayaran atas pekerjaan yang telah diterima, pengembalian materi, dan penutupan akses diatur sebagai berikut: [isi]. Kejadian di luar kendali wajar ditangani melalui pemberitahuan dan mitigasi yang disepakati.</w:t>
      </w:r>
    </w:p>
    <w:p>
      <w:pPr>
        <w:pStyle w:val="Heading1"/>
        <w:keepNext/>
        <w:spacing w:before="220" w:after="80"/>
      </w:pPr>
      <w:r>
        <w:rPr>
          <w:rFonts w:ascii="Aptos" w:hAnsi="Aptos" w:eastAsia="Aptos"/>
          <w:b/>
          <w:i w:val="0"/>
          <w:color w:val="000000"/>
          <w:sz w:val="28"/>
        </w:rPr>
        <w:t>11. Penyelesaian perselisihan</w:t>
      </w:r>
    </w:p>
    <w:p>
      <w:pPr>
        <w:spacing w:after="100" w:line="271" w:lineRule="auto"/>
      </w:pPr>
      <w:r>
        <w:rPr>
          <w:rFonts w:ascii="Aptos" w:hAnsi="Aptos" w:eastAsia="Aptos"/>
          <w:b w:val="0"/>
          <w:i w:val="0"/>
          <w:color w:val="201A17"/>
          <w:sz w:val="21"/>
        </w:rPr>
        <w:t>Para Pihak terlebih dahulu bermusyawarah selama [jumlah] hari. Jika tidak terselesaikan, forum dan domisili penyelesaian yang dipilih adalah [isi setelah ditelaah]. Klausul ini perlu ditinjau oleh penasihat hukum sebelum digunakan.</w:t>
      </w:r>
    </w:p>
    <w:p>
      <w:pPr>
        <w:pStyle w:val="Heading1"/>
        <w:keepNext/>
        <w:spacing w:before="220" w:after="80"/>
      </w:pPr>
      <w:r>
        <w:rPr>
          <w:rFonts w:ascii="Aptos" w:hAnsi="Aptos" w:eastAsia="Aptos"/>
          <w:b/>
          <w:i w:val="0"/>
          <w:color w:val="000000"/>
          <w:sz w:val="28"/>
        </w:rPr>
        <w:t>12. Penutup dan tanda tangan</w:t>
      </w:r>
    </w:p>
    <w:p>
      <w:pPr>
        <w:spacing w:after="100" w:line="271" w:lineRule="auto"/>
      </w:pPr>
      <w:r>
        <w:rPr>
          <w:rFonts w:ascii="Aptos" w:hAnsi="Aptos" w:eastAsia="Aptos"/>
          <w:b w:val="0"/>
          <w:i w:val="0"/>
          <w:color w:val="201A17"/>
          <w:sz w:val="21"/>
        </w:rPr>
        <w:t>Perjanjian berlaku setelah isian material disepakati dan ditandatangani. Perubahan dibuat tertulis dan disetujui Para Pihak. Perjanjian dibuat dalam [jumlah] rangkap dan masing-masing pihak menerima satu salinan.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97"/>
        <w:gridCol w:w="4997"/>
      </w:tblGrid>
      <w:tr>
        <w:trPr>
          <w:tblHeader/>
        </w:trPr>
        <w:tc>
          <w:tcPr>
            <w:tcW w:type="dxa" w:w="4752"/>
            <w:vAlign w:val="center"/>
            <w:shd w:fill="72533D"/>
            <w:tcMar>
              <w:top w:w="125" w:type="dxa"/>
              <w:start w:w="120" w:type="dxa"/>
              <w:bottom w:w="125" w:type="dxa"/>
              <w:end w:w="120" w:type="dxa"/>
            </w:tcMar>
          </w:tcPr>
          <w:p>
            <w:pPr>
              <w:spacing w:after="0"/>
              <w:jc w:val="left"/>
            </w:pPr>
            <w:r>
              <w:rPr>
                <w:rFonts w:ascii="Aptos" w:hAnsi="Aptos" w:eastAsia="Aptos"/>
                <w:b/>
                <w:i w:val="0"/>
                <w:color w:val="FFFFFF"/>
                <w:sz w:val="18"/>
              </w:rPr>
              <w:t>Penyedia jasa</w:t>
            </w:r>
          </w:p>
        </w:tc>
        <w:tc>
          <w:tcPr>
            <w:tcW w:type="dxa" w:w="4752"/>
            <w:vAlign w:val="center"/>
            <w:shd w:fill="72533D"/>
            <w:tcMar>
              <w:top w:w="125" w:type="dxa"/>
              <w:start w:w="120" w:type="dxa"/>
              <w:bottom w:w="125" w:type="dxa"/>
              <w:end w:w="120" w:type="dxa"/>
            </w:tcMar>
          </w:tcPr>
          <w:p>
            <w:pPr>
              <w:spacing w:after="0"/>
              <w:jc w:val="left"/>
            </w:pPr>
            <w:r>
              <w:rPr>
                <w:rFonts w:ascii="Aptos" w:hAnsi="Aptos" w:eastAsia="Aptos"/>
                <w:b/>
                <w:i w:val="0"/>
                <w:color w:val="FFFFFF"/>
                <w:sz w:val="18"/>
              </w:rPr>
              <w:t>Klien FD Culinary</w:t>
            </w:r>
          </w:p>
        </w:tc>
      </w:tr>
      <w:tr>
        <w:tc>
          <w:tcPr>
            <w:tcW w:type="dxa" w:w="4752"/>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8"/>
              </w:rPr>
              <w:t>Nama: [isi]</w:t>
              <w:br/>
              <w:t>Jabatan: [isi]</w:t>
              <w:br/>
              <w:t>Tanggal: [isi]</w:t>
              <w:br/>
              <w:br/>
              <w:t>Tanda tangan: ____________________</w:t>
            </w:r>
          </w:p>
        </w:tc>
        <w:tc>
          <w:tcPr>
            <w:tcW w:type="dxa" w:w="4752"/>
            <w:vAlign w:val="center"/>
            <w:tcMar>
              <w:top w:w="110" w:type="dxa"/>
              <w:start w:w="120" w:type="dxa"/>
              <w:bottom w:w="110" w:type="dxa"/>
              <w:end w:w="120" w:type="dxa"/>
            </w:tcMar>
          </w:tcPr>
          <w:p>
            <w:pPr>
              <w:spacing w:after="0" w:line="252" w:lineRule="auto"/>
              <w:jc w:val="left"/>
            </w:pPr>
            <w:r>
              <w:rPr>
                <w:rFonts w:ascii="Aptos" w:hAnsi="Aptos" w:eastAsia="Aptos"/>
                <w:b w:val="0"/>
                <w:i w:val="0"/>
                <w:color w:val="201A17"/>
                <w:sz w:val="18"/>
              </w:rPr>
              <w:t>Nama: [isi]</w:t>
              <w:br/>
              <w:t>Jabatan: [isi]</w:t>
              <w:br/>
              <w:t>Tanggal: [isi]</w:t>
              <w:br/>
              <w:br/>
              <w:t>Tanda tangan: ____________________</w:t>
            </w:r>
          </w:p>
        </w:tc>
      </w:tr>
    </w:tbl>
    <w:p>
      <w:pPr>
        <w:spacing w:after="20"/>
      </w:pPr>
    </w:p>
    <w:p>
      <w:pPr>
        <w:pStyle w:val="Heading1"/>
        <w:keepNext/>
        <w:spacing w:before="220" w:after="80"/>
      </w:pPr>
      <w:r>
        <w:rPr>
          <w:rFonts w:ascii="Aptos" w:hAnsi="Aptos" w:eastAsia="Aptos"/>
          <w:b/>
          <w:i w:val="0"/>
          <w:color w:val="000000"/>
          <w:sz w:val="28"/>
        </w:rPr>
        <w:t>Lampiran</w:t>
      </w:r>
    </w:p>
    <w:p>
      <w:pPr>
        <w:pStyle w:val="ListBullet"/>
        <w:spacing w:after="60" w:line="259" w:lineRule="auto"/>
      </w:pPr>
      <w:r>
        <w:rPr>
          <w:rFonts w:ascii="Aptos" w:hAnsi="Aptos" w:eastAsia="Aptos"/>
          <w:b w:val="0"/>
          <w:i w:val="0"/>
          <w:color w:val="201A17"/>
          <w:sz w:val="20"/>
        </w:rPr>
        <w:t>Lampiran 1 — BRS-FD-01 versi [isi].</w:t>
      </w:r>
    </w:p>
    <w:p>
      <w:pPr>
        <w:pStyle w:val="ListBullet"/>
        <w:spacing w:after="60" w:line="259" w:lineRule="auto"/>
      </w:pPr>
      <w:r>
        <w:rPr>
          <w:rFonts w:ascii="Aptos" w:hAnsi="Aptos" w:eastAsia="Aptos"/>
          <w:b w:val="0"/>
          <w:i w:val="0"/>
          <w:color w:val="201A17"/>
          <w:sz w:val="20"/>
        </w:rPr>
        <w:t>Lampiran 2 — Proposal Website Katalog versi [isi].</w:t>
      </w:r>
    </w:p>
    <w:p>
      <w:pPr>
        <w:pStyle w:val="ListBullet"/>
        <w:spacing w:after="60" w:line="259" w:lineRule="auto"/>
      </w:pPr>
      <w:r>
        <w:rPr>
          <w:rFonts w:ascii="Aptos" w:hAnsi="Aptos" w:eastAsia="Aptos"/>
          <w:b w:val="0"/>
          <w:i w:val="0"/>
          <w:color w:val="201A17"/>
          <w:sz w:val="20"/>
        </w:rPr>
        <w:t>Lampiran 3 — BA Uji Terima yang ditandatangani.</w:t>
      </w:r>
    </w:p>
    <w:p>
      <w:pPr>
        <w:pStyle w:val="ListBullet"/>
        <w:spacing w:after="60" w:line="259" w:lineRule="auto"/>
      </w:pPr>
      <w:r>
        <w:rPr>
          <w:rFonts w:ascii="Aptos" w:hAnsi="Aptos" w:eastAsia="Aptos"/>
          <w:b w:val="0"/>
          <w:i w:val="0"/>
          <w:color w:val="201A17"/>
          <w:sz w:val="20"/>
        </w:rPr>
        <w:t>Lampiran 4 — Perubahan ruang lingkup yang disetujui, bila ada.</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b w:val="0"/>
        <w:i w:val="0"/>
        <w:color w:val="72533D"/>
        <w:sz w:val="16"/>
      </w:rPr>
      <w:t xml:space="preserve">KONTRAK-FD-01  •  Draf 0.1  •  Halaman </w:t>
    </w:r>
    <w:r>
      <w:rPr>
        <w:rFonts w:ascii="Aptos" w:hAnsi="Aptos" w:eastAsia="Aptos"/>
        <w:b w:val="0"/>
        <w:i w:val="0"/>
        <w:color w:val="72533D"/>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eastAsia="Aptos"/>
        <w:b/>
        <w:i w:val="0"/>
        <w:color w:val="72533D"/>
        <w:sz w:val="16"/>
      </w:rPr>
      <w:t>FD CULINARY  |  DOKUMEN PROYEK WEBSITE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01A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Aptos" w:hAnsi="Aptos" w:eastAsia="Aptos"/>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color w:val="201A17"/>
      <w:sz w:val="21"/>
    </w:rPr>
  </w:style>
  <w:style w:type="paragraph" w:styleId="ListBullet2">
    <w:name w:val="List Bullet 2"/>
    <w:basedOn w:val="Normal"/>
    <w:uiPriority w:val="99"/>
    <w:unhideWhenUsed/>
    <w:rsid w:val="00326F90"/>
    <w:pPr>
      <w:numPr>
        <w:numId w:val="2"/>
      </w:numPr>
      <w:contextualSpacing/>
    </w:pPr>
    <w:rPr>
      <w:rFonts w:ascii="Aptos" w:hAnsi="Aptos" w:eastAsia="Aptos"/>
      <w:color w:val="201A17"/>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eastAsia="Aptos"/>
      <w:color w:val="201A17"/>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