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0f1db3edd3118ceae8c76aa15813dc2a7141d1b"/>
    <w:p>
      <w:pPr>
        <w:pStyle w:val="Heading1"/>
      </w:pPr>
      <w:r>
        <w:t xml:space="preserve">Matriks QS World University Rankings: Domain, Indikator, Unit Terkait, Prioritas, dan Strategi GloRI</w:t>
      </w:r>
    </w:p>
    <w:p>
      <w:pPr>
        <w:pStyle w:val="BlockText"/>
      </w:pPr>
      <w:r>
        <w:rPr>
          <w:bCs/>
          <w:b/>
        </w:rPr>
        <w:t xml:space="preserve">Aturan pengisian.</w:t>
      </w:r>
      <w:r>
        <w:t xml:space="preserve"> </w:t>
      </w:r>
      <w:r>
        <w:t xml:space="preserve">Kolom Skala Prioritas dan Strategi hanya diisi jika GloRI termasuk unit terkait. Baris lain diberi tanda</w:t>
      </w:r>
      <w:r>
        <w:t xml:space="preserve"> </w:t>
      </w:r>
      <w:r>
        <w:t xml:space="preserve">“</w:t>
      </w:r>
      <w:r>
        <w:t xml:space="preserve">-</w:t>
      </w:r>
      <w:r>
        <w:t xml:space="preserve">”</w:t>
      </w:r>
      <w:r>
        <w:t xml:space="preserve"> </w:t>
      </w:r>
      <w:r>
        <w:t xml:space="preserve">karena merupakan ranah unit lain.</w:t>
      </w:r>
    </w:p>
    <w:p>
      <w:pPr>
        <w:pStyle w:val="BlockText"/>
      </w:pPr>
      <w:r>
        <w:rPr>
          <w:bCs/>
          <w:b/>
        </w:rPr>
        <w:t xml:space="preserve">Batasan data.</w:t>
      </w:r>
      <w:r>
        <w:t xml:space="preserve"> </w:t>
      </w:r>
      <w:r>
        <w:t xml:space="preserve">Skor Unhas per indikator belum tersedia, sehingga prioritas adalah penilaian berdasarkan bobot dan kemampuan GloRI memengaruhi indikator, bukan berdasarkan celah skor. Nama unit adalah anggapan umum dan perlu disesuaikan dengan struktur Unhas. Bobot untuk edisi QS WUR 2026; cek apakah berubah pada edisi 2027. Definisi dan sumber data per indikator belum diverifikasi ke dokumen metodologi resmi QS.</w:t>
      </w:r>
    </w:p>
    <w:p>
      <w:pPr>
        <w:pStyle w:val="FirstParagraph"/>
      </w:pPr>
      <w:r>
        <w:t xml:space="preserve">Keyakinan:</w:t>
      </w:r>
      <w:r>
        <w:t xml:space="preserve"> </w:t>
      </w:r>
      <w:r>
        <w:rPr>
          <w:bCs/>
          <w:b/>
        </w:rPr>
        <w:t xml:space="preserve">[Pasti]</w:t>
      </w:r>
      <w:r>
        <w:t xml:space="preserve"> </w:t>
      </w:r>
      <w:r>
        <w:t xml:space="preserve">bukti kuat,</w:t>
      </w:r>
      <w:r>
        <w:t xml:space="preserve"> </w:t>
      </w:r>
      <w:r>
        <w:rPr>
          <w:bCs/>
          <w:b/>
        </w:rPr>
        <w:t xml:space="preserve">[Kemungkinan Besar]</w:t>
      </w:r>
      <w:r>
        <w:t xml:space="preserve"> </w:t>
      </w:r>
      <w:r>
        <w:t xml:space="preserve">inferensi kuat,</w:t>
      </w:r>
      <w:r>
        <w:t xml:space="preserve"> </w:t>
      </w:r>
      <w:r>
        <w:rPr>
          <w:bCs/>
          <w:b/>
        </w:rPr>
        <w:t xml:space="preserve">[Menebak]</w:t>
      </w:r>
      <w:r>
        <w:t xml:space="preserve"> </w:t>
      </w:r>
      <w:r>
        <w:t xml:space="preserve">pengisi celah.</w:t>
      </w:r>
    </w:p>
    <w:bookmarkStart w:id="20" w:name="skala-prioritas"/>
    <w:p>
      <w:pPr>
        <w:pStyle w:val="Heading2"/>
      </w:pPr>
      <w:r>
        <w:t xml:space="preserve">Skala prioritas</w:t>
      </w:r>
    </w:p>
    <w:tbl>
      <w:tblPr>
        <w:tblStyle w:val="Table"/>
        <w:tblW w:type="pct" w:w="5000"/>
        <w:tblLook w:firstRow="1" w:lastRow="0" w:firstColumn="0" w:lastColumn="0" w:noHBand="0" w:noVBand="0" w:val="0020"/>
        <w:jc w:val="start"/>
        <w:tblBorders>
          <w:top w:val="single" w:sz="4" w:color="888888"/>
          <w:left w:val="single" w:sz="4" w:color="888888"/>
          <w:bottom w:val="single" w:sz="4" w:color="888888"/>
          <w:right w:val="single" w:sz="4" w:color="888888"/>
          <w:insideH w:val="single" w:sz="4" w:color="888888"/>
          <w:insideV w:val="single" w:sz="4" w:color="888888"/>
        </w:tblBorders>
      </w:tblPr>
      <w:tblGrid>
        <w:gridCol w:w="2640"/>
        <w:gridCol w:w="2640"/>
        <w:gridCol w:w="2640"/>
      </w:tblGrid>
      <w:tr>
        <w:trPr>
          <w:tblHeader w:val="true"/>
        </w:trPr>
        <w:tc>
          <w:tcPr/>
          <w:p>
            <w:pPr>
              <w:pStyle w:val="Compact"/>
              <w:jc w:val="left"/>
            </w:pPr>
            <w:r>
              <w:rPr>
                <w:sz w:val="17"/>
              </w:rPr>
              <w:t xml:space="preserve">Skala</w:t>
            </w:r>
          </w:p>
        </w:tc>
        <w:tc>
          <w:tcPr/>
          <w:p>
            <w:pPr>
              <w:pStyle w:val="Compact"/>
              <w:jc w:val="left"/>
            </w:pPr>
            <w:r>
              <w:rPr>
                <w:sz w:val="17"/>
              </w:rPr>
              <w:t xml:space="preserve">Arti</w:t>
            </w:r>
          </w:p>
        </w:tc>
        <w:tc>
          <w:tcPr/>
          <w:p>
            <w:pPr>
              <w:pStyle w:val="Compact"/>
              <w:jc w:val="left"/>
            </w:pPr>
            <w:r>
              <w:rPr>
                <w:sz w:val="17"/>
              </w:rPr>
              <w:t xml:space="preserve">Kriteria</w:t>
            </w:r>
          </w:p>
        </w:tc>
      </w:tr>
      <w:tr>
        <w:tc>
          <w:tcPr/>
          <w:p>
            <w:pPr>
              <w:pStyle w:val="Compact"/>
              <w:jc w:val="left"/>
            </w:pPr>
            <w:r>
              <w:rPr>
                <w:sz w:val="17"/>
              </w:rPr>
              <w:t xml:space="preserve">1 (Tinggi)</w:t>
            </w:r>
          </w:p>
        </w:tc>
        <w:tc>
          <w:tcPr/>
          <w:p>
            <w:pPr>
              <w:pStyle w:val="Compact"/>
              <w:jc w:val="left"/>
            </w:pPr>
            <w:r>
              <w:rPr>
                <w:sz w:val="17"/>
              </w:rPr>
              <w:t xml:space="preserve">Dikerjakan GloRI lebih dulu</w:t>
            </w:r>
          </w:p>
        </w:tc>
        <w:tc>
          <w:tcPr/>
          <w:p>
            <w:pPr>
              <w:pStyle w:val="Compact"/>
              <w:jc w:val="left"/>
            </w:pPr>
            <w:r>
              <w:rPr>
                <w:sz w:val="17"/>
              </w:rPr>
              <w:t xml:space="preserve">Bobot besar atau sangat sesuai fungsi GloRI, dan bisa digerakkan dalam 2 sampai 4 tahun</w:t>
            </w:r>
          </w:p>
        </w:tc>
      </w:tr>
      <w:tr>
        <w:tc>
          <w:tcPr/>
          <w:p>
            <w:pPr>
              <w:pStyle w:val="Compact"/>
              <w:jc w:val="left"/>
            </w:pPr>
            <w:r>
              <w:rPr>
                <w:sz w:val="17"/>
              </w:rPr>
              <w:t xml:space="preserve">2 (Sedang)</w:t>
            </w:r>
          </w:p>
        </w:tc>
        <w:tc>
          <w:tcPr/>
          <w:p>
            <w:pPr>
              <w:pStyle w:val="Compact"/>
              <w:jc w:val="left"/>
            </w:pPr>
            <w:r>
              <w:rPr>
                <w:sz w:val="17"/>
              </w:rPr>
              <w:t xml:space="preserve">Dikerjakan paralel</w:t>
            </w:r>
          </w:p>
        </w:tc>
        <w:tc>
          <w:tcPr/>
          <w:p>
            <w:pPr>
              <w:pStyle w:val="Compact"/>
              <w:jc w:val="left"/>
            </w:pPr>
            <w:r>
              <w:rPr>
                <w:sz w:val="17"/>
              </w:rPr>
              <w:t xml:space="preserve">Pengaruh GloRI sebagian atau tidak langsung, atau hasilnya lambat</w:t>
            </w:r>
          </w:p>
        </w:tc>
      </w:tr>
      <w:tr>
        <w:tc>
          <w:tcPr/>
          <w:p>
            <w:pPr>
              <w:pStyle w:val="Compact"/>
              <w:jc w:val="left"/>
            </w:pPr>
            <w:r>
              <w:rPr>
                <w:sz w:val="17"/>
              </w:rPr>
              <w:t xml:space="preserve">3 (Rendah)</w:t>
            </w:r>
          </w:p>
        </w:tc>
        <w:tc>
          <w:tcPr/>
          <w:p>
            <w:pPr>
              <w:pStyle w:val="Compact"/>
              <w:jc w:val="left"/>
            </w:pPr>
            <w:r>
              <w:rPr>
                <w:sz w:val="17"/>
              </w:rPr>
              <w:t xml:space="preserve">Mendukung saja</w:t>
            </w:r>
          </w:p>
        </w:tc>
        <w:tc>
          <w:tcPr/>
          <w:p>
            <w:pPr>
              <w:pStyle w:val="Compact"/>
              <w:jc w:val="left"/>
            </w:pPr>
            <w:r>
              <w:rPr>
                <w:sz w:val="17"/>
              </w:rPr>
              <w:t xml:space="preserve">Bobot kecil dan pengaruh GloRI tidak langsung</w:t>
            </w:r>
          </w:p>
        </w:tc>
      </w:tr>
    </w:tbl>
    <w:bookmarkEnd w:id="20"/>
    <w:bookmarkStart w:id="21" w:name="matriks"/>
    <w:p>
      <w:pPr>
        <w:pStyle w:val="Heading2"/>
      </w:pPr>
      <w:r>
        <w:t xml:space="preserve">Matriks</w:t>
      </w:r>
    </w:p>
    <w:tbl>
      <w:tblPr>
        <w:tblStyle w:val="Table"/>
        <w:tblW w:type="pct" w:w="5000"/>
        <w:tblLook w:firstRow="1" w:lastRow="0" w:firstColumn="0" w:lastColumn="0" w:noHBand="0" w:noVBand="0" w:val="0020"/>
        <w:jc w:val="start"/>
        <w:tblBorders>
          <w:top w:val="single" w:sz="4" w:color="888888"/>
          <w:left w:val="single" w:sz="4" w:color="888888"/>
          <w:bottom w:val="single" w:sz="4" w:color="888888"/>
          <w:right w:val="single" w:sz="4" w:color="888888"/>
          <w:insideH w:val="single" w:sz="4" w:color="888888"/>
          <w:insideV w:val="single" w:sz="4" w:color="888888"/>
        </w:tblBorders>
      </w:tblPr>
      <w:tblGrid>
        <w:gridCol w:w="1320"/>
        <w:gridCol w:w="1320"/>
        <w:gridCol w:w="1320"/>
        <w:gridCol w:w="1320"/>
        <w:gridCol w:w="1320"/>
        <w:gridCol w:w="1320"/>
      </w:tblGrid>
      <w:tr>
        <w:trPr>
          <w:tblHeader w:val="true"/>
        </w:trPr>
        <w:tc>
          <w:tcPr/>
          <w:p>
            <w:pPr>
              <w:pStyle w:val="Compact"/>
              <w:jc w:val="left"/>
            </w:pPr>
            <w:r>
              <w:rPr>
                <w:sz w:val="17"/>
              </w:rPr>
              <w:t xml:space="preserve">Domain (lens)</w:t>
            </w:r>
          </w:p>
        </w:tc>
        <w:tc>
          <w:tcPr/>
          <w:p>
            <w:pPr>
              <w:pStyle w:val="Compact"/>
              <w:jc w:val="left"/>
            </w:pPr>
            <w:r>
              <w:rPr>
                <w:sz w:val="17"/>
              </w:rPr>
              <w:t xml:space="preserve">Indikator (bobot)</w:t>
            </w:r>
          </w:p>
        </w:tc>
        <w:tc>
          <w:tcPr/>
          <w:p>
            <w:pPr>
              <w:pStyle w:val="Compact"/>
              <w:jc w:val="left"/>
            </w:pPr>
            <w:r>
              <w:rPr>
                <w:sz w:val="17"/>
              </w:rPr>
              <w:t xml:space="preserve">Penjelasan</w:t>
            </w:r>
          </w:p>
        </w:tc>
        <w:tc>
          <w:tcPr/>
          <w:p>
            <w:pPr>
              <w:pStyle w:val="Compact"/>
              <w:jc w:val="left"/>
            </w:pPr>
            <w:r>
              <w:rPr>
                <w:sz w:val="17"/>
              </w:rPr>
              <w:t xml:space="preserve">Unit terkait</w:t>
            </w:r>
          </w:p>
        </w:tc>
        <w:tc>
          <w:tcPr/>
          <w:p>
            <w:pPr>
              <w:pStyle w:val="Compact"/>
              <w:jc w:val="left"/>
            </w:pPr>
            <w:r>
              <w:rPr>
                <w:sz w:val="17"/>
              </w:rPr>
              <w:t xml:space="preserve">Skala prioritas</w:t>
            </w:r>
          </w:p>
        </w:tc>
        <w:tc>
          <w:tcPr/>
          <w:p>
            <w:pPr>
              <w:pStyle w:val="Compact"/>
              <w:jc w:val="left"/>
            </w:pPr>
            <w:r>
              <w:rPr>
                <w:sz w:val="17"/>
              </w:rPr>
              <w:t xml:space="preserve">Strategi</w:t>
            </w:r>
          </w:p>
        </w:tc>
      </w:tr>
      <w:tr>
        <w:tc>
          <w:tcPr/>
          <w:p>
            <w:pPr>
              <w:pStyle w:val="Compact"/>
              <w:jc w:val="left"/>
            </w:pPr>
            <w:r>
              <w:rPr>
                <w:sz w:val="17"/>
              </w:rPr>
              <w:t xml:space="preserve">Research &amp; Discovery (50%)</w:t>
            </w:r>
          </w:p>
        </w:tc>
        <w:tc>
          <w:tcPr/>
          <w:p>
            <w:pPr>
              <w:pStyle w:val="Compact"/>
              <w:jc w:val="left"/>
            </w:pPr>
            <w:r>
              <w:rPr>
                <w:sz w:val="17"/>
              </w:rPr>
              <w:t xml:space="preserve">Academic Reputation (30%)</w:t>
            </w:r>
          </w:p>
        </w:tc>
        <w:tc>
          <w:tcPr/>
          <w:p>
            <w:pPr>
              <w:pStyle w:val="Compact"/>
              <w:jc w:val="left"/>
            </w:pPr>
            <w:r>
              <w:rPr>
                <w:sz w:val="17"/>
              </w:rPr>
              <w:t xml:space="preserve">Pendapat akademisi global tentang universitas terbaik di bidangnya, dari survei QS. Tidak ada data yang diserahkan. [Kemungkinan Besar]</w:t>
            </w:r>
          </w:p>
        </w:tc>
        <w:tc>
          <w:tcPr/>
          <w:p>
            <w:pPr>
              <w:pStyle w:val="Compact"/>
              <w:jc w:val="left"/>
            </w:pPr>
            <w:r>
              <w:rPr>
                <w:bCs/>
                <w:b/>
                <w:sz w:val="17"/>
              </w:rPr>
              <w:t xml:space="preserve">GloRI</w:t>
            </w:r>
            <w:r>
              <w:rPr>
                <w:sz w:val="17"/>
              </w:rPr>
              <w:t xml:space="preserve">; Humas; Pimpinan universitas; Fakultas</w:t>
            </w:r>
          </w:p>
        </w:tc>
        <w:tc>
          <w:tcPr/>
          <w:p>
            <w:pPr>
              <w:pStyle w:val="Compact"/>
              <w:jc w:val="left"/>
            </w:pPr>
            <w:r>
              <w:rPr>
                <w:sz w:val="17"/>
              </w:rPr>
              <w:t xml:space="preserve">2</w:t>
            </w:r>
          </w:p>
        </w:tc>
        <w:tc>
          <w:tcPr/>
          <w:p>
            <w:pPr>
              <w:pStyle w:val="Compact"/>
              <w:jc w:val="left"/>
            </w:pPr>
            <w:r>
              <w:rPr>
                <w:sz w:val="17"/>
              </w:rPr>
              <w:t xml:space="preserve">(1) Perbanyak keterlihatan peneliti Unhas di komunitas global lewat seminar internasional bersama, keynote, dan peran editorial. (2) Susun daftar akademisi mitra internasional untuk didaftarkan ke database survei QS lewat jalur resmi, dengan etika yang jelas. (3) Pantau hasil melalui peningkatan kolaborasi. Dampak baru terlihat dalam beberapa tahun. [Kemungkinan Besar]</w:t>
            </w:r>
          </w:p>
        </w:tc>
      </w:tr>
      <w:tr>
        <w:tc>
          <w:tcPr/>
          <w:p>
            <w:pPr>
              <w:pStyle w:val="Compact"/>
              <w:jc w:val="left"/>
            </w:pPr>
            <w:r>
              <w:rPr>
                <w:sz w:val="17"/>
              </w:rPr>
              <w:t xml:space="preserve">Research &amp; Discovery (50%)</w:t>
            </w:r>
          </w:p>
        </w:tc>
        <w:tc>
          <w:tcPr/>
          <w:p>
            <w:pPr>
              <w:pStyle w:val="Compact"/>
              <w:jc w:val="left"/>
            </w:pPr>
            <w:r>
              <w:rPr>
                <w:sz w:val="17"/>
              </w:rPr>
              <w:t xml:space="preserve">Citations per Faculty (20%)</w:t>
            </w:r>
          </w:p>
        </w:tc>
        <w:tc>
          <w:tcPr/>
          <w:p>
            <w:pPr>
              <w:pStyle w:val="Compact"/>
              <w:jc w:val="left"/>
            </w:pPr>
            <w:r>
              <w:rPr>
                <w:sz w:val="17"/>
              </w:rPr>
              <w:t xml:space="preserve">Total sitasi Scopus dibagi jumlah dosen FTE. [Kemungkinan Besar]</w:t>
            </w:r>
          </w:p>
        </w:tc>
        <w:tc>
          <w:tcPr/>
          <w:p>
            <w:pPr>
              <w:pStyle w:val="Compact"/>
              <w:jc w:val="left"/>
            </w:pPr>
            <w:r>
              <w:rPr>
                <w:bCs/>
                <w:b/>
                <w:sz w:val="17"/>
              </w:rPr>
              <w:t xml:space="preserve">GloRI</w:t>
            </w:r>
            <w:r>
              <w:rPr>
                <w:sz w:val="17"/>
              </w:rPr>
              <w:t xml:space="preserve">; LPPM; Perpustakaan; Fakultas; SDM dan unit data (penyebut FTE)</w:t>
            </w:r>
          </w:p>
        </w:tc>
        <w:tc>
          <w:tcPr/>
          <w:p>
            <w:pPr>
              <w:pStyle w:val="Compact"/>
              <w:jc w:val="left"/>
            </w:pPr>
            <w:r>
              <w:rPr>
                <w:sz w:val="17"/>
              </w:rPr>
              <w:t xml:space="preserve">1</w:t>
            </w:r>
          </w:p>
        </w:tc>
        <w:tc>
          <w:tcPr/>
          <w:p>
            <w:pPr>
              <w:pStyle w:val="Compact"/>
              <w:jc w:val="left"/>
            </w:pPr>
            <w:r>
              <w:rPr>
                <w:sz w:val="17"/>
              </w:rPr>
              <w:t xml:space="preserve">(1) Dorong riset kolaboratif internasional pada topik dengan sitasi potensial tinggi, bukan menaikkan h-index individu. (2) Tetapkan format afiliasi baku</w:t>
            </w:r>
            <w:r>
              <w:rPr>
                <w:sz w:val="17"/>
              </w:rPr>
              <w:t xml:space="preserve"> </w:t>
            </w:r>
            <w:r>
              <w:rPr>
                <w:sz w:val="17"/>
              </w:rPr>
              <w:t xml:space="preserve">“</w:t>
            </w:r>
            <w:r>
              <w:rPr>
                <w:sz w:val="17"/>
              </w:rPr>
              <w:t xml:space="preserve">Universitas Hasanuddin, Makassar, Indonesia</w:t>
            </w:r>
            <w:r>
              <w:rPr>
                <w:sz w:val="17"/>
              </w:rPr>
              <w:t xml:space="preserve">”</w:t>
            </w:r>
            <w:r>
              <w:rPr>
                <w:sz w:val="17"/>
              </w:rPr>
              <w:t xml:space="preserve"> </w:t>
            </w:r>
            <w:r>
              <w:rPr>
                <w:sz w:val="17"/>
              </w:rPr>
              <w:t xml:space="preserve">di semua kegiatan GloRI dan pastikan paper hasil kolaborasi terhubung ke afiliasi Unhas di Scopus. (3) Dukung publikasi di jurnal bereputasi dan akses terbuka. (4) Tidak mengaitkan insentif dengan jumlah sitasi dan tidak mendorong sitasi timbal-balik. Data FTE bukan tanggung jawab GloRI.</w:t>
            </w:r>
          </w:p>
        </w:tc>
      </w:tr>
      <w:tr>
        <w:tc>
          <w:tcPr/>
          <w:p>
            <w:pPr>
              <w:pStyle w:val="Compact"/>
              <w:jc w:val="left"/>
            </w:pPr>
            <w:r>
              <w:rPr>
                <w:sz w:val="17"/>
              </w:rPr>
              <w:t xml:space="preserve">Employability &amp; Outcomes (20%)</w:t>
            </w:r>
          </w:p>
        </w:tc>
        <w:tc>
          <w:tcPr/>
          <w:p>
            <w:pPr>
              <w:pStyle w:val="Compact"/>
              <w:jc w:val="left"/>
            </w:pPr>
            <w:r>
              <w:rPr>
                <w:sz w:val="17"/>
              </w:rPr>
              <w:t xml:space="preserve">Employer Reputation (15%)</w:t>
            </w:r>
          </w:p>
        </w:tc>
        <w:tc>
          <w:tcPr/>
          <w:p>
            <w:pPr>
              <w:pStyle w:val="Compact"/>
              <w:jc w:val="left"/>
            </w:pPr>
            <w:r>
              <w:rPr>
                <w:sz w:val="17"/>
              </w:rPr>
              <w:t xml:space="preserve">Pendapat pemberi kerja tentang universitas yang lulusannya paling mereka rekrut, dari survei QS. [Kemungkinan Besar]</w:t>
            </w:r>
          </w:p>
        </w:tc>
        <w:tc>
          <w:tcPr/>
          <w:p>
            <w:pPr>
              <w:pStyle w:val="Compact"/>
              <w:jc w:val="left"/>
            </w:pPr>
            <w:r>
              <w:rPr>
                <w:sz w:val="17"/>
              </w:rPr>
              <w:t xml:space="preserve">Alumni dan karier; Kerja sama dan humas; Fakultas</w:t>
            </w:r>
          </w:p>
        </w:tc>
        <w:tc>
          <w:tcPr/>
          <w:p>
            <w:pPr>
              <w:pStyle w:val="Compact"/>
              <w:jc w:val="left"/>
            </w:pPr>
            <w:r>
              <w:rPr>
                <w:sz w:val="17"/>
              </w:rPr>
              <w:t xml:space="preserve">-</w:t>
            </w:r>
          </w:p>
        </w:tc>
        <w:tc>
          <w:tcPr/>
          <w:p>
            <w:pPr>
              <w:pStyle w:val="Compact"/>
              <w:jc w:val="left"/>
            </w:pPr>
            <w:r>
              <w:rPr>
                <w:sz w:val="17"/>
              </w:rPr>
              <w:t xml:space="preserve">-</w:t>
            </w:r>
          </w:p>
        </w:tc>
      </w:tr>
      <w:tr>
        <w:tc>
          <w:tcPr/>
          <w:p>
            <w:pPr>
              <w:pStyle w:val="Compact"/>
              <w:jc w:val="left"/>
            </w:pPr>
            <w:r>
              <w:rPr>
                <w:sz w:val="17"/>
              </w:rPr>
              <w:t xml:space="preserve">Employability &amp; Outcomes (20%)</w:t>
            </w:r>
          </w:p>
        </w:tc>
        <w:tc>
          <w:tcPr/>
          <w:p>
            <w:pPr>
              <w:pStyle w:val="Compact"/>
              <w:jc w:val="left"/>
            </w:pPr>
            <w:r>
              <w:rPr>
                <w:sz w:val="17"/>
              </w:rPr>
              <w:t xml:space="preserve">Employment Outcomes (5%)</w:t>
            </w:r>
          </w:p>
        </w:tc>
        <w:tc>
          <w:tcPr/>
          <w:p>
            <w:pPr>
              <w:pStyle w:val="Compact"/>
              <w:jc w:val="left"/>
            </w:pPr>
            <w:r>
              <w:rPr>
                <w:sz w:val="17"/>
              </w:rPr>
              <w:t xml:space="preserve">Keberhasilan lulusan mendapat pekerjaan. Metode belum diverifikasi. [Menebak]</w:t>
            </w:r>
          </w:p>
        </w:tc>
        <w:tc>
          <w:tcPr/>
          <w:p>
            <w:pPr>
              <w:pStyle w:val="Compact"/>
              <w:jc w:val="left"/>
            </w:pPr>
            <w:r>
              <w:rPr>
                <w:sz w:val="17"/>
              </w:rPr>
              <w:t xml:space="preserve">Karier dan alumni; Akademik; Fakultas</w:t>
            </w:r>
          </w:p>
        </w:tc>
        <w:tc>
          <w:tcPr/>
          <w:p>
            <w:pPr>
              <w:pStyle w:val="Compact"/>
              <w:jc w:val="left"/>
            </w:pPr>
            <w:r>
              <w:rPr>
                <w:sz w:val="17"/>
              </w:rPr>
              <w:t xml:space="preserve">-</w:t>
            </w:r>
          </w:p>
        </w:tc>
        <w:tc>
          <w:tcPr/>
          <w:p>
            <w:pPr>
              <w:pStyle w:val="Compact"/>
              <w:jc w:val="left"/>
            </w:pPr>
            <w:r>
              <w:rPr>
                <w:sz w:val="17"/>
              </w:rPr>
              <w:t xml:space="preserve">-</w:t>
            </w:r>
          </w:p>
        </w:tc>
      </w:tr>
      <w:tr>
        <w:tc>
          <w:tcPr/>
          <w:p>
            <w:pPr>
              <w:pStyle w:val="Compact"/>
              <w:jc w:val="left"/>
            </w:pPr>
            <w:r>
              <w:rPr>
                <w:sz w:val="17"/>
              </w:rPr>
              <w:t xml:space="preserve">Global Engagement (15%)</w:t>
            </w:r>
          </w:p>
        </w:tc>
        <w:tc>
          <w:tcPr/>
          <w:p>
            <w:pPr>
              <w:pStyle w:val="Compact"/>
              <w:jc w:val="left"/>
            </w:pPr>
            <w:r>
              <w:rPr>
                <w:sz w:val="17"/>
              </w:rPr>
              <w:t xml:space="preserve">International Faculty Ratio (5%)</w:t>
            </w:r>
          </w:p>
        </w:tc>
        <w:tc>
          <w:tcPr/>
          <w:p>
            <w:pPr>
              <w:pStyle w:val="Compact"/>
              <w:jc w:val="left"/>
            </w:pPr>
            <w:r>
              <w:rPr>
                <w:sz w:val="17"/>
              </w:rPr>
              <w:t xml:space="preserve">Proporsi dosen internasional dari data institusi. [Kemungkinan Besar]</w:t>
            </w:r>
          </w:p>
        </w:tc>
        <w:tc>
          <w:tcPr/>
          <w:p>
            <w:pPr>
              <w:pStyle w:val="Compact"/>
              <w:jc w:val="left"/>
            </w:pPr>
            <w:r>
              <w:rPr>
                <w:sz w:val="17"/>
              </w:rPr>
              <w:t xml:space="preserve">SDM; Kantor internasional;</w:t>
            </w:r>
            <w:r>
              <w:rPr>
                <w:sz w:val="17"/>
              </w:rPr>
              <w:t xml:space="preserve"> </w:t>
            </w:r>
            <w:r>
              <w:rPr>
                <w:bCs/>
                <w:b/>
                <w:sz w:val="17"/>
              </w:rPr>
              <w:t xml:space="preserve">GloRI</w:t>
            </w:r>
          </w:p>
        </w:tc>
        <w:tc>
          <w:tcPr/>
          <w:p>
            <w:pPr>
              <w:pStyle w:val="Compact"/>
              <w:jc w:val="left"/>
            </w:pPr>
            <w:r>
              <w:rPr>
                <w:sz w:val="17"/>
              </w:rPr>
              <w:t xml:space="preserve">2</w:t>
            </w:r>
          </w:p>
        </w:tc>
        <w:tc>
          <w:tcPr/>
          <w:p>
            <w:pPr>
              <w:pStyle w:val="Compact"/>
              <w:jc w:val="left"/>
            </w:pPr>
            <w:r>
              <w:rPr>
                <w:sz w:val="17"/>
              </w:rPr>
              <w:t xml:space="preserve">(1) Rekrut atau undang visiting professor dan peneliti pascadoktor asing lewat program GloRI, dengan status yang jelas dan sesuai definisi QS tentang dosen/staf riset (pastikan ke panduan QS). (2) Koordinasikan pencatatan dengan SDM supaya tidak menghitung ganda atau salah status. Pengaruh GloRI terbatas pada pengunjung yang memenuhi definisi. [Menebak]</w:t>
            </w:r>
          </w:p>
        </w:tc>
      </w:tr>
      <w:tr>
        <w:tc>
          <w:tcPr/>
          <w:p>
            <w:pPr>
              <w:pStyle w:val="Compact"/>
              <w:jc w:val="left"/>
            </w:pPr>
            <w:r>
              <w:rPr>
                <w:sz w:val="17"/>
              </w:rPr>
              <w:t xml:space="preserve">Global Engagement (15%)</w:t>
            </w:r>
          </w:p>
        </w:tc>
        <w:tc>
          <w:tcPr/>
          <w:p>
            <w:pPr>
              <w:pStyle w:val="Compact"/>
              <w:jc w:val="left"/>
            </w:pPr>
            <w:r>
              <w:rPr>
                <w:sz w:val="17"/>
              </w:rPr>
              <w:t xml:space="preserve">International Research Network (5%)</w:t>
            </w:r>
          </w:p>
        </w:tc>
        <w:tc>
          <w:tcPr/>
          <w:p>
            <w:pPr>
              <w:pStyle w:val="Compact"/>
              <w:jc w:val="left"/>
            </w:pPr>
            <w:r>
              <w:rPr>
                <w:sz w:val="17"/>
              </w:rPr>
              <w:t xml:space="preserve">Kemampuan membangun dan mempertahankan kolaborasi riset lintas negara, dari data Scopus. Rumus rinci belum diverifikasi. [Menebak]</w:t>
            </w:r>
          </w:p>
        </w:tc>
        <w:tc>
          <w:tcPr/>
          <w:p>
            <w:pPr>
              <w:pStyle w:val="Compact"/>
              <w:jc w:val="left"/>
            </w:pPr>
            <w:r>
              <w:rPr>
                <w:bCs/>
                <w:b/>
                <w:sz w:val="17"/>
              </w:rPr>
              <w:t xml:space="preserve">GloRI</w:t>
            </w:r>
            <w:r>
              <w:rPr>
                <w:sz w:val="17"/>
              </w:rPr>
              <w:t xml:space="preserve">; LPPM; Kantor internasional; Fakultas</w:t>
            </w:r>
          </w:p>
        </w:tc>
        <w:tc>
          <w:tcPr/>
          <w:p>
            <w:pPr>
              <w:pStyle w:val="Compact"/>
              <w:jc w:val="left"/>
            </w:pPr>
            <w:r>
              <w:rPr>
                <w:sz w:val="17"/>
              </w:rPr>
              <w:t xml:space="preserve">1</w:t>
            </w:r>
          </w:p>
        </w:tc>
        <w:tc>
          <w:tcPr/>
          <w:p>
            <w:pPr>
              <w:pStyle w:val="Compact"/>
              <w:jc w:val="left"/>
            </w:pPr>
            <w:r>
              <w:rPr>
                <w:sz w:val="17"/>
              </w:rPr>
              <w:t xml:space="preserve">(1) Peta kolaborasi internasional Unhas saat ini lewat Scopus, dan tentukan negara serta institusi mitra prioritas. (2) Bangun kolaborasi jangka panjang (bukan satu kali), dengan hibah bersama dan proyek multi-tahun. (3) Dorong ko-publikasi dengan banyak negara berbeda. (4) Pastikan afiliasi Unhas tercatat benar di setiap paper. Ini indikator yang paling sesuai fungsi GloRI. [Kemungkinan Besar]</w:t>
            </w:r>
          </w:p>
        </w:tc>
      </w:tr>
      <w:tr>
        <w:tc>
          <w:tcPr/>
          <w:p>
            <w:pPr>
              <w:pStyle w:val="Compact"/>
              <w:jc w:val="left"/>
            </w:pPr>
            <w:r>
              <w:rPr>
                <w:sz w:val="17"/>
              </w:rPr>
              <w:t xml:space="preserve">Global Engagement (15%)</w:t>
            </w:r>
          </w:p>
        </w:tc>
        <w:tc>
          <w:tcPr/>
          <w:p>
            <w:pPr>
              <w:pStyle w:val="Compact"/>
              <w:jc w:val="left"/>
            </w:pPr>
            <w:r>
              <w:rPr>
                <w:sz w:val="17"/>
              </w:rPr>
              <w:t xml:space="preserve">International Student Ratio (5%)</w:t>
            </w:r>
          </w:p>
        </w:tc>
        <w:tc>
          <w:tcPr/>
          <w:p>
            <w:pPr>
              <w:pStyle w:val="Compact"/>
              <w:jc w:val="left"/>
            </w:pPr>
            <w:r>
              <w:rPr>
                <w:sz w:val="17"/>
              </w:rPr>
              <w:t xml:space="preserve">Proporsi mahasiswa internasional dari data institusi. [Kemungkinan Besar]</w:t>
            </w:r>
          </w:p>
        </w:tc>
        <w:tc>
          <w:tcPr/>
          <w:p>
            <w:pPr>
              <w:pStyle w:val="Compact"/>
              <w:jc w:val="left"/>
            </w:pPr>
            <w:r>
              <w:rPr>
                <w:sz w:val="17"/>
              </w:rPr>
              <w:t xml:space="preserve">Kantor internasional; Akademik; Fakultas</w:t>
            </w:r>
          </w:p>
        </w:tc>
        <w:tc>
          <w:tcPr/>
          <w:p>
            <w:pPr>
              <w:pStyle w:val="Compact"/>
              <w:jc w:val="left"/>
            </w:pPr>
            <w:r>
              <w:rPr>
                <w:sz w:val="17"/>
              </w:rPr>
              <w:t xml:space="preserve">-</w:t>
            </w:r>
          </w:p>
        </w:tc>
        <w:tc>
          <w:tcPr/>
          <w:p>
            <w:pPr>
              <w:pStyle w:val="Compact"/>
              <w:jc w:val="left"/>
            </w:pPr>
            <w:r>
              <w:rPr>
                <w:sz w:val="17"/>
              </w:rPr>
              <w:t xml:space="preserve">-</w:t>
            </w:r>
          </w:p>
        </w:tc>
      </w:tr>
      <w:tr>
        <w:tc>
          <w:tcPr/>
          <w:p>
            <w:pPr>
              <w:pStyle w:val="Compact"/>
              <w:jc w:val="left"/>
            </w:pPr>
            <w:r>
              <w:rPr>
                <w:sz w:val="17"/>
              </w:rPr>
              <w:t xml:space="preserve">Global Engagement (15%)</w:t>
            </w:r>
          </w:p>
        </w:tc>
        <w:tc>
          <w:tcPr/>
          <w:p>
            <w:pPr>
              <w:pStyle w:val="Compact"/>
              <w:jc w:val="left"/>
            </w:pPr>
            <w:r>
              <w:rPr>
                <w:sz w:val="17"/>
              </w:rPr>
              <w:t xml:space="preserve">International Student Diversity (0%)</w:t>
            </w:r>
          </w:p>
        </w:tc>
        <w:tc>
          <w:tcPr/>
          <w:p>
            <w:pPr>
              <w:pStyle w:val="Compact"/>
              <w:jc w:val="left"/>
            </w:pPr>
            <w:r>
              <w:rPr>
                <w:sz w:val="17"/>
              </w:rPr>
              <w:t xml:space="preserve">Keragaman negara asal mahasiswa asing. Bobot 0% sehingga belum memengaruhi skor. [Menebak]</w:t>
            </w:r>
          </w:p>
        </w:tc>
        <w:tc>
          <w:tcPr/>
          <w:p>
            <w:pPr>
              <w:pStyle w:val="Compact"/>
              <w:jc w:val="left"/>
            </w:pPr>
            <w:r>
              <w:rPr>
                <w:sz w:val="17"/>
              </w:rPr>
              <w:t xml:space="preserve">Kantor internasional; Akademik</w:t>
            </w:r>
          </w:p>
        </w:tc>
        <w:tc>
          <w:tcPr/>
          <w:p>
            <w:pPr>
              <w:pStyle w:val="Compact"/>
              <w:jc w:val="left"/>
            </w:pPr>
            <w:r>
              <w:rPr>
                <w:sz w:val="17"/>
              </w:rPr>
              <w:t xml:space="preserve">-</w:t>
            </w:r>
          </w:p>
        </w:tc>
        <w:tc>
          <w:tcPr/>
          <w:p>
            <w:pPr>
              <w:pStyle w:val="Compact"/>
              <w:jc w:val="left"/>
            </w:pPr>
            <w:r>
              <w:rPr>
                <w:sz w:val="17"/>
              </w:rPr>
              <w:t xml:space="preserve">-</w:t>
            </w:r>
          </w:p>
        </w:tc>
      </w:tr>
      <w:tr>
        <w:tc>
          <w:tcPr/>
          <w:p>
            <w:pPr>
              <w:pStyle w:val="Compact"/>
              <w:jc w:val="left"/>
            </w:pPr>
            <w:r>
              <w:rPr>
                <w:sz w:val="17"/>
              </w:rPr>
              <w:t xml:space="preserve">Learning Experience (10%)</w:t>
            </w:r>
          </w:p>
        </w:tc>
        <w:tc>
          <w:tcPr/>
          <w:p>
            <w:pPr>
              <w:pStyle w:val="Compact"/>
              <w:jc w:val="left"/>
            </w:pPr>
            <w:r>
              <w:rPr>
                <w:sz w:val="17"/>
              </w:rPr>
              <w:t xml:space="preserve">Faculty Student Ratio (10%)</w:t>
            </w:r>
          </w:p>
        </w:tc>
        <w:tc>
          <w:tcPr/>
          <w:p>
            <w:pPr>
              <w:pStyle w:val="Compact"/>
              <w:jc w:val="left"/>
            </w:pPr>
            <w:r>
              <w:rPr>
                <w:sz w:val="17"/>
              </w:rPr>
              <w:t xml:space="preserve">Dosen dibanding mahasiswa sebagai proksi kualitas pengajaran, dari data institusi. [Kemungkinan Besar]</w:t>
            </w:r>
          </w:p>
        </w:tc>
        <w:tc>
          <w:tcPr/>
          <w:p>
            <w:pPr>
              <w:pStyle w:val="Compact"/>
              <w:jc w:val="left"/>
            </w:pPr>
            <w:r>
              <w:rPr>
                <w:sz w:val="17"/>
              </w:rPr>
              <w:t xml:space="preserve">SDM; Akademik; Unit data/perencanaan</w:t>
            </w:r>
          </w:p>
        </w:tc>
        <w:tc>
          <w:tcPr/>
          <w:p>
            <w:pPr>
              <w:pStyle w:val="Compact"/>
              <w:jc w:val="left"/>
            </w:pPr>
            <w:r>
              <w:rPr>
                <w:sz w:val="17"/>
              </w:rPr>
              <w:t xml:space="preserve">-</w:t>
            </w:r>
          </w:p>
        </w:tc>
        <w:tc>
          <w:tcPr/>
          <w:p>
            <w:pPr>
              <w:pStyle w:val="Compact"/>
              <w:jc w:val="left"/>
            </w:pPr>
            <w:r>
              <w:rPr>
                <w:sz w:val="17"/>
              </w:rPr>
              <w:t xml:space="preserve">-</w:t>
            </w:r>
          </w:p>
        </w:tc>
      </w:tr>
      <w:tr>
        <w:tc>
          <w:tcPr/>
          <w:p>
            <w:pPr>
              <w:pStyle w:val="Compact"/>
              <w:jc w:val="left"/>
            </w:pPr>
            <w:r>
              <w:rPr>
                <w:sz w:val="17"/>
              </w:rPr>
              <w:t xml:space="preserve">Sustainability (5%)</w:t>
            </w:r>
          </w:p>
        </w:tc>
        <w:tc>
          <w:tcPr/>
          <w:p>
            <w:pPr>
              <w:pStyle w:val="Compact"/>
              <w:jc w:val="left"/>
            </w:pPr>
            <w:r>
              <w:rPr>
                <w:sz w:val="17"/>
              </w:rPr>
              <w:t xml:space="preserve">Sustainability (5%)</w:t>
            </w:r>
          </w:p>
        </w:tc>
        <w:tc>
          <w:tcPr/>
          <w:p>
            <w:pPr>
              <w:pStyle w:val="Compact"/>
              <w:jc w:val="left"/>
            </w:pPr>
            <w:r>
              <w:rPr>
                <w:sz w:val="17"/>
              </w:rPr>
              <w:t xml:space="preserve">Kinerja dan kebijakan keberlanjutan, dari QS Sustainability Ranking. Rinciannya belum diverifikasi. [Menebak]</w:t>
            </w:r>
          </w:p>
        </w:tc>
        <w:tc>
          <w:tcPr/>
          <w:p>
            <w:pPr>
              <w:pStyle w:val="Compact"/>
              <w:jc w:val="left"/>
            </w:pPr>
            <w:r>
              <w:rPr>
                <w:sz w:val="17"/>
              </w:rPr>
              <w:t xml:space="preserve">Tim keberlanjutan; Perencanaan dan sarana;</w:t>
            </w:r>
            <w:r>
              <w:rPr>
                <w:sz w:val="17"/>
              </w:rPr>
              <w:t xml:space="preserve"> </w:t>
            </w:r>
            <w:r>
              <w:rPr>
                <w:bCs/>
                <w:b/>
                <w:sz w:val="17"/>
              </w:rPr>
              <w:t xml:space="preserve">GloRI</w:t>
            </w:r>
            <w:r>
              <w:rPr>
                <w:sz w:val="17"/>
              </w:rPr>
              <w:t xml:space="preserve"> </w:t>
            </w:r>
            <w:r>
              <w:rPr>
                <w:sz w:val="17"/>
              </w:rPr>
              <w:t xml:space="preserve">(riset terkait SDG)</w:t>
            </w:r>
          </w:p>
        </w:tc>
        <w:tc>
          <w:tcPr/>
          <w:p>
            <w:pPr>
              <w:pStyle w:val="Compact"/>
              <w:jc w:val="left"/>
            </w:pPr>
            <w:r>
              <w:rPr>
                <w:sz w:val="17"/>
              </w:rPr>
              <w:t xml:space="preserve">3</w:t>
            </w:r>
          </w:p>
        </w:tc>
        <w:tc>
          <w:tcPr/>
          <w:p>
            <w:pPr>
              <w:pStyle w:val="Compact"/>
              <w:jc w:val="left"/>
            </w:pPr>
            <w:r>
              <w:rPr>
                <w:sz w:val="17"/>
              </w:rPr>
              <w:t xml:space="preserve">(1) Identifikasi riset Unhas yang berkaitan dengan SDG dan pastikan terdokumentasi untuk pengisian data QS Sustainability. (2) Dorong kolaborasi internasional pada topik keberlanjutan, yang sekaligus mendukung International Research Network. Peran GloRI hanya pendukung. [Menebak]</w:t>
            </w:r>
          </w:p>
        </w:tc>
      </w:tr>
    </w:tbl>
    <w:bookmarkEnd w:id="21"/>
    <w:bookmarkStart w:id="22" w:name="ringkasan-peran-glori"/>
    <w:p>
      <w:pPr>
        <w:pStyle w:val="Heading2"/>
      </w:pPr>
      <w:r>
        <w:t xml:space="preserve">Ringkasan peran GloRI</w:t>
      </w:r>
    </w:p>
    <w:tbl>
      <w:tblPr>
        <w:tblStyle w:val="Table"/>
        <w:tblW w:type="pct" w:w="5000"/>
        <w:tblLook w:firstRow="1" w:lastRow="0" w:firstColumn="0" w:lastColumn="0" w:noHBand="0" w:noVBand="0" w:val="0020"/>
        <w:jc w:val="start"/>
        <w:tblBorders>
          <w:top w:val="single" w:sz="4" w:color="888888"/>
          <w:left w:val="single" w:sz="4" w:color="888888"/>
          <w:bottom w:val="single" w:sz="4" w:color="888888"/>
          <w:right w:val="single" w:sz="4" w:color="888888"/>
          <w:insideH w:val="single" w:sz="4" w:color="888888"/>
          <w:insideV w:val="single" w:sz="4" w:color="888888"/>
        </w:tblBorders>
      </w:tblPr>
      <w:tblGrid>
        <w:gridCol w:w="2640"/>
        <w:gridCol w:w="2640"/>
        <w:gridCol w:w="2640"/>
      </w:tblGrid>
      <w:tr>
        <w:trPr>
          <w:tblHeader w:val="true"/>
        </w:trPr>
        <w:tc>
          <w:tcPr/>
          <w:p>
            <w:pPr>
              <w:pStyle w:val="Compact"/>
              <w:jc w:val="left"/>
            </w:pPr>
            <w:r>
              <w:rPr>
                <w:sz w:val="17"/>
              </w:rPr>
              <w:t xml:space="preserve">Prioritas</w:t>
            </w:r>
          </w:p>
        </w:tc>
        <w:tc>
          <w:tcPr/>
          <w:p>
            <w:pPr>
              <w:pStyle w:val="Compact"/>
              <w:jc w:val="left"/>
            </w:pPr>
            <w:r>
              <w:rPr>
                <w:sz w:val="17"/>
              </w:rPr>
              <w:t xml:space="preserve">Indikator</w:t>
            </w:r>
          </w:p>
        </w:tc>
        <w:tc>
          <w:tcPr/>
          <w:p>
            <w:pPr>
              <w:pStyle w:val="Compact"/>
              <w:jc w:val="left"/>
            </w:pPr>
            <w:r>
              <w:rPr>
                <w:sz w:val="17"/>
              </w:rPr>
              <w:t xml:space="preserve">Alasan</w:t>
            </w:r>
          </w:p>
        </w:tc>
      </w:tr>
      <w:tr>
        <w:tc>
          <w:tcPr/>
          <w:p>
            <w:pPr>
              <w:pStyle w:val="Compact"/>
              <w:jc w:val="left"/>
            </w:pPr>
            <w:r>
              <w:rPr>
                <w:sz w:val="17"/>
              </w:rPr>
              <w:t xml:space="preserve">1</w:t>
            </w:r>
          </w:p>
        </w:tc>
        <w:tc>
          <w:tcPr/>
          <w:p>
            <w:pPr>
              <w:pStyle w:val="Compact"/>
              <w:jc w:val="left"/>
            </w:pPr>
            <w:r>
              <w:rPr>
                <w:sz w:val="17"/>
              </w:rPr>
              <w:t xml:space="preserve">Citations per Faculty; International Research Network</w:t>
            </w:r>
          </w:p>
        </w:tc>
        <w:tc>
          <w:tcPr/>
          <w:p>
            <w:pPr>
              <w:pStyle w:val="Compact"/>
              <w:jc w:val="left"/>
            </w:pPr>
            <w:r>
              <w:rPr>
                <w:sz w:val="17"/>
              </w:rPr>
              <w:t xml:space="preserve">Bobot besar (20%) atau sangat sesuai fungsi GloRI (5%), dan dapat digerakkan lewat kolaborasi dan afiliasi</w:t>
            </w:r>
          </w:p>
        </w:tc>
      </w:tr>
      <w:tr>
        <w:tc>
          <w:tcPr/>
          <w:p>
            <w:pPr>
              <w:pStyle w:val="Compact"/>
              <w:jc w:val="left"/>
            </w:pPr>
            <w:r>
              <w:rPr>
                <w:sz w:val="17"/>
              </w:rPr>
              <w:t xml:space="preserve">2</w:t>
            </w:r>
          </w:p>
        </w:tc>
        <w:tc>
          <w:tcPr/>
          <w:p>
            <w:pPr>
              <w:pStyle w:val="Compact"/>
              <w:jc w:val="left"/>
            </w:pPr>
            <w:r>
              <w:rPr>
                <w:sz w:val="17"/>
              </w:rPr>
              <w:t xml:space="preserve">Academic Reputation; International Faculty Ratio</w:t>
            </w:r>
          </w:p>
        </w:tc>
        <w:tc>
          <w:tcPr/>
          <w:p>
            <w:pPr>
              <w:pStyle w:val="Compact"/>
              <w:jc w:val="left"/>
            </w:pPr>
            <w:r>
              <w:rPr>
                <w:sz w:val="17"/>
              </w:rPr>
              <w:t xml:space="preserve">Bobot besar tetapi lambat; atau pengaruh terbatas</w:t>
            </w:r>
          </w:p>
        </w:tc>
      </w:tr>
      <w:tr>
        <w:tc>
          <w:tcPr/>
          <w:p>
            <w:pPr>
              <w:pStyle w:val="Compact"/>
              <w:jc w:val="left"/>
            </w:pPr>
            <w:r>
              <w:rPr>
                <w:sz w:val="17"/>
              </w:rPr>
              <w:t xml:space="preserve">3</w:t>
            </w:r>
          </w:p>
        </w:tc>
        <w:tc>
          <w:tcPr/>
          <w:p>
            <w:pPr>
              <w:pStyle w:val="Compact"/>
              <w:jc w:val="left"/>
            </w:pPr>
            <w:r>
              <w:rPr>
                <w:sz w:val="17"/>
              </w:rPr>
              <w:t xml:space="preserve">Sustainability</w:t>
            </w:r>
          </w:p>
        </w:tc>
        <w:tc>
          <w:tcPr/>
          <w:p>
            <w:pPr>
              <w:pStyle w:val="Compact"/>
              <w:jc w:val="left"/>
            </w:pPr>
            <w:r>
              <w:rPr>
                <w:sz w:val="17"/>
              </w:rPr>
              <w:t xml:space="preserve">Bobot kecil dan peran pendukung</w:t>
            </w:r>
          </w:p>
        </w:tc>
      </w:tr>
      <w:tr>
        <w:tc>
          <w:tcPr/>
          <w:p>
            <w:pPr>
              <w:pStyle w:val="Compact"/>
              <w:jc w:val="left"/>
            </w:pPr>
            <w:r>
              <w:rPr>
                <w:sz w:val="17"/>
              </w:rPr>
              <w:t xml:space="preserve">Bukan ranah GloRI</w:t>
            </w:r>
          </w:p>
        </w:tc>
        <w:tc>
          <w:tcPr/>
          <w:p>
            <w:pPr>
              <w:pStyle w:val="Compact"/>
              <w:jc w:val="left"/>
            </w:pPr>
            <w:r>
              <w:rPr>
                <w:sz w:val="17"/>
              </w:rPr>
              <w:t xml:space="preserve">Employer Reputation; Employment Outcomes; International Student Ratio dan Diversity; Faculty Student Ratio</w:t>
            </w:r>
          </w:p>
        </w:tc>
        <w:tc>
          <w:tcPr/>
          <w:p>
            <w:pPr>
              <w:pStyle w:val="Compact"/>
              <w:jc w:val="left"/>
            </w:pPr>
            <w:r>
              <w:rPr>
                <w:sz w:val="17"/>
              </w:rPr>
              <w:t xml:space="preserve">Dipegang unit lain</w:t>
            </w:r>
          </w:p>
        </w:tc>
      </w:tr>
    </w:tbl>
    <w:bookmarkEnd w:id="22"/>
    <w:bookmarkStart w:id="23" w:name="catatan-integritas"/>
    <w:p>
      <w:pPr>
        <w:pStyle w:val="Heading2"/>
      </w:pPr>
      <w:r>
        <w:t xml:space="preserve">Catatan integritas</w:t>
      </w:r>
    </w:p>
    <w:p>
      <w:pPr>
        <w:numPr>
          <w:ilvl w:val="0"/>
          <w:numId w:val="1001"/>
        </w:numPr>
        <w:pStyle w:val="Compact"/>
      </w:pPr>
      <w:r>
        <w:t xml:space="preserve">Jangan mengaitkan target atau insentif dengan jumlah sitasi atau h-index, dan jangan mendorong sitasi timbal-balik. Pola sitasi yang tidak wajar berisiko ditandai oleh Scopus dan pemeringkat. [Kemungkinan Besar]</w:t>
      </w:r>
    </w:p>
    <w:p>
      <w:pPr>
        <w:numPr>
          <w:ilvl w:val="0"/>
          <w:numId w:val="1001"/>
        </w:numPr>
        <w:pStyle w:val="Compact"/>
      </w:pPr>
      <w:r>
        <w:t xml:space="preserve">Data FTE dan data mahasiswa harus akurat sesuai definisi QS dan menjadi tanggung jawab unit data universitas, bukan GloRI.</w:t>
      </w:r>
    </w:p>
    <w:bookmarkEnd w:id="23"/>
    <w:bookmarkStart w:id="24" w:name="yang-perlu-dikonfirmasi"/>
    <w:p>
      <w:pPr>
        <w:pStyle w:val="Heading2"/>
      </w:pPr>
      <w:r>
        <w:t xml:space="preserve">Yang perlu dikonfirmasi</w:t>
      </w:r>
    </w:p>
    <w:p>
      <w:pPr>
        <w:numPr>
          <w:ilvl w:val="0"/>
          <w:numId w:val="1002"/>
        </w:numPr>
        <w:pStyle w:val="Compact"/>
      </w:pPr>
      <w:r>
        <w:t xml:space="preserve">Mandat dan struktur GloRI di Unhas, agar kolom Unit Terkait sesuai kenyataan.</w:t>
      </w:r>
    </w:p>
    <w:p>
      <w:pPr>
        <w:numPr>
          <w:ilvl w:val="0"/>
          <w:numId w:val="1002"/>
        </w:numPr>
        <w:pStyle w:val="Compact"/>
      </w:pPr>
      <w:r>
        <w:t xml:space="preserve">Skor Unhas per indikator dari profil QS, untuk menyesuaikan prioritas dengan celah sebenarnya.</w:t>
      </w:r>
    </w:p>
    <w:p>
      <w:pPr>
        <w:numPr>
          <w:ilvl w:val="0"/>
          <w:numId w:val="1002"/>
        </w:numPr>
        <w:pStyle w:val="Compact"/>
      </w:pPr>
      <w:r>
        <w:t xml:space="preserve">Definisi dan sumber data resmi dari panduan metodologi QS edisi terbaru.</w:t>
      </w:r>
    </w:p>
    <w:bookmarkEnd w:id="24"/>
    <w:bookmarkEnd w:id="25"/>
    <w:sectPr>
      <w:pgSz w:orient="landscape" w:w="16838" w:h="11906"/>
      <w:pgMar w:left="850" w:right="8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2026-10-23T03:06:19Z</dcterms:created>
  <dcterms:modified xsi:type="dcterms:W3CDTF">2026-10-23T03:06:19Z</dcterms:modified>
</cp:coreProperties>
</file>

<file path=docProps/custom.xml><?xml version="1.0" encoding="utf-8"?>
<Properties xmlns="http://schemas.openxmlformats.org/officeDocument/2006/custom-properties" xmlns:vt="http://schemas.openxmlformats.org/officeDocument/2006/docPropsVTypes"/>
</file>