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182D1465" w:rsidR="00312ACE" w:rsidRPr="008B61A8" w:rsidRDefault="005307F0" w:rsidP="007863F7">
      <w:pPr>
        <w:tabs>
          <w:tab w:val="left" w:pos="926"/>
        </w:tabs>
        <w:jc w:val="center"/>
        <w:rPr>
          <w:b/>
          <w:sz w:val="44"/>
          <w:szCs w:val="36"/>
          <w:lang w:val="en-US"/>
        </w:rPr>
      </w:pPr>
      <w:r>
        <w:rPr>
          <w:b/>
          <w:sz w:val="44"/>
          <w:szCs w:val="36"/>
          <w:lang w:val="en-US"/>
        </w:rPr>
        <w:t>Port</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247ABBAD"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F27C1F">
        <w:rPr>
          <w:b/>
          <w:bCs/>
          <w:i/>
          <w:iCs/>
          <w:lang w:val="en-US"/>
        </w:rPr>
        <w:t>Port</w:t>
      </w:r>
      <w:r w:rsidR="0047791B" w:rsidRPr="008B61A8">
        <w:rPr>
          <w:lang w:val="en-US"/>
        </w:rPr>
        <w:t xml:space="preserve"> </w:t>
      </w:r>
      <w:r w:rsidR="001D2146">
        <w:rPr>
          <w:lang w:val="en-US"/>
        </w:rPr>
        <w:t xml:space="preserve">driver </w:t>
      </w:r>
      <w:r w:rsidR="0047791B" w:rsidRPr="008B61A8">
        <w:rPr>
          <w:lang w:val="en-US"/>
        </w:rPr>
        <w:t>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2273C3E2" w14:textId="7B56F755" w:rsidR="002B4A5C" w:rsidRPr="009C0254" w:rsidRDefault="00D17C17" w:rsidP="009C0254">
      <w:pPr>
        <w:rPr>
          <w:lang w:val="en-US"/>
        </w:rPr>
      </w:pPr>
      <w:r>
        <w:rPr>
          <w:lang w:val="en-US"/>
        </w:rPr>
        <w:t xml:space="preserve">While the AUTOSAR </w:t>
      </w:r>
      <w:r w:rsidR="007213EE">
        <w:rPr>
          <w:b/>
          <w:bCs/>
          <w:i/>
          <w:iCs/>
          <w:lang w:val="en-US"/>
        </w:rPr>
        <w:t>Port</w:t>
      </w:r>
      <w:r>
        <w:rPr>
          <w:lang w:val="en-US"/>
        </w:rPr>
        <w:t xml:space="preserve"> module is complex and is </w:t>
      </w:r>
      <w:r w:rsidR="006B0E62">
        <w:rPr>
          <w:lang w:val="en-US"/>
        </w:rPr>
        <w:t xml:space="preserve">usually </w:t>
      </w:r>
      <w:r w:rsidR="00FB6369">
        <w:rPr>
          <w:lang w:val="en-US"/>
        </w:rPr>
        <w:t>configured</w:t>
      </w:r>
      <w:r>
        <w:rPr>
          <w:lang w:val="en-US"/>
        </w:rPr>
        <w:t xml:space="preserve"> via generators, in this </w:t>
      </w:r>
      <w:r w:rsidR="006B0E62">
        <w:rPr>
          <w:lang w:val="en-US"/>
        </w:rPr>
        <w:t xml:space="preserve">project </w:t>
      </w:r>
      <w:r w:rsidR="00DF0C9A">
        <w:rPr>
          <w:lang w:val="en-US"/>
        </w:rPr>
        <w:t xml:space="preserve">it is manually </w:t>
      </w:r>
      <w:proofErr w:type="gramStart"/>
      <w:r w:rsidR="00DF0C9A">
        <w:rPr>
          <w:lang w:val="en-US"/>
        </w:rPr>
        <w:t>implemented</w:t>
      </w:r>
      <w:proofErr w:type="gramEnd"/>
      <w:r w:rsidR="00DF0C9A">
        <w:rPr>
          <w:lang w:val="en-US"/>
        </w:rPr>
        <w:t xml:space="preserve"> and </w:t>
      </w:r>
      <w:r w:rsidR="006B0E62">
        <w:rPr>
          <w:lang w:val="en-US"/>
        </w:rPr>
        <w:t>it</w:t>
      </w:r>
      <w:r w:rsidR="00C3359C">
        <w:rPr>
          <w:lang w:val="en-US"/>
        </w:rPr>
        <w:t xml:space="preserve">s </w:t>
      </w:r>
      <w:r w:rsidR="009C0254">
        <w:rPr>
          <w:lang w:val="en-US"/>
        </w:rPr>
        <w:t xml:space="preserve">single </w:t>
      </w:r>
      <w:r w:rsidR="006833F4">
        <w:rPr>
          <w:lang w:val="en-US"/>
        </w:rPr>
        <w:t xml:space="preserve">feature </w:t>
      </w:r>
      <w:r w:rsidR="009C0254">
        <w:rPr>
          <w:lang w:val="en-US"/>
        </w:rPr>
        <w:t xml:space="preserve">is </w:t>
      </w:r>
      <w:r w:rsidR="00C3359C">
        <w:rPr>
          <w:lang w:val="en-US"/>
        </w:rPr>
        <w:t>to</w:t>
      </w:r>
      <w:r w:rsidR="009C0254">
        <w:rPr>
          <w:lang w:val="en-US"/>
        </w:rPr>
        <w:t xml:space="preserve"> initialize the direction and mode of all the used uC pins.</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AC57239" w14:textId="0BA4B9BF" w:rsidR="00FC624B" w:rsidRDefault="00C14A43" w:rsidP="00B3153F">
      <w:pPr>
        <w:pStyle w:val="ListParagraph"/>
        <w:numPr>
          <w:ilvl w:val="0"/>
          <w:numId w:val="26"/>
        </w:numPr>
        <w:rPr>
          <w:lang w:val="en-US"/>
        </w:rPr>
      </w:pPr>
      <w:r>
        <w:rPr>
          <w:lang w:val="en-US"/>
        </w:rPr>
        <w:t xml:space="preserve">The </w:t>
      </w:r>
      <w:r w:rsidR="00B942B8">
        <w:rPr>
          <w:lang w:val="en-US"/>
        </w:rPr>
        <w:t>Port</w:t>
      </w:r>
      <w:r w:rsidR="00CE0C82">
        <w:rPr>
          <w:lang w:val="en-US"/>
        </w:rPr>
        <w:t xml:space="preserve"> </w:t>
      </w:r>
      <w:r>
        <w:rPr>
          <w:lang w:val="en-US"/>
        </w:rPr>
        <w:t xml:space="preserve">driver </w:t>
      </w:r>
      <w:r w:rsidR="00596CDD">
        <w:rPr>
          <w:lang w:val="en-US"/>
        </w:rPr>
        <w:t xml:space="preserve">shall </w:t>
      </w:r>
      <w:r w:rsidR="00FC624B">
        <w:rPr>
          <w:lang w:val="en-US"/>
        </w:rPr>
        <w:t>be implemented according to AUTOSAR 4.3.1 specifications.</w:t>
      </w:r>
    </w:p>
    <w:p w14:paraId="0B7B8B36" w14:textId="4A2402B2" w:rsidR="00C14A43" w:rsidRDefault="00C14A43" w:rsidP="00B3153F">
      <w:pPr>
        <w:pStyle w:val="ListParagraph"/>
        <w:numPr>
          <w:ilvl w:val="0"/>
          <w:numId w:val="26"/>
        </w:numPr>
        <w:rPr>
          <w:lang w:val="en-US"/>
        </w:rPr>
      </w:pPr>
      <w:r>
        <w:rPr>
          <w:lang w:val="en-US"/>
        </w:rPr>
        <w:t xml:space="preserve">The </w:t>
      </w:r>
      <w:r w:rsidR="006C685A">
        <w:rPr>
          <w:lang w:val="en-US"/>
        </w:rPr>
        <w:t>Port</w:t>
      </w:r>
      <w:r>
        <w:rPr>
          <w:lang w:val="en-US"/>
        </w:rPr>
        <w:t xml:space="preserve"> driver shall implement the following interfaces and all the</w:t>
      </w:r>
      <w:r w:rsidR="00AF1B50">
        <w:rPr>
          <w:lang w:val="en-US"/>
        </w:rPr>
        <w:t>ir</w:t>
      </w:r>
      <w:r>
        <w:rPr>
          <w:lang w:val="en-US"/>
        </w:rPr>
        <w:t xml:space="preserve"> </w:t>
      </w:r>
      <w:r w:rsidR="00AF1B50">
        <w:rPr>
          <w:lang w:val="en-US"/>
        </w:rPr>
        <w:t xml:space="preserve">required </w:t>
      </w:r>
      <w:r>
        <w:rPr>
          <w:lang w:val="en-US"/>
        </w:rPr>
        <w:t>data types</w:t>
      </w:r>
      <w:r w:rsidR="00D339C5">
        <w:rPr>
          <w:lang w:val="en-US"/>
        </w:rPr>
        <w:t xml:space="preserve"> for </w:t>
      </w:r>
      <w:r w:rsidR="006C685A">
        <w:rPr>
          <w:lang w:val="en-US"/>
        </w:rPr>
        <w:t>initializing the directions and modes of all the used uC pins</w:t>
      </w:r>
      <w:r w:rsidR="003B12C0">
        <w:rPr>
          <w:lang w:val="en-US"/>
        </w:rPr>
        <w:t>:</w:t>
      </w:r>
    </w:p>
    <w:p w14:paraId="46692F45" w14:textId="49701F9C" w:rsidR="00E00861" w:rsidRPr="00E00861" w:rsidRDefault="00073B01" w:rsidP="00E00861">
      <w:pPr>
        <w:pStyle w:val="ListParagraph"/>
        <w:numPr>
          <w:ilvl w:val="0"/>
          <w:numId w:val="38"/>
        </w:numPr>
        <w:rPr>
          <w:lang w:val="en-US"/>
        </w:rPr>
      </w:pPr>
      <w:r w:rsidRPr="00073B01">
        <w:rPr>
          <w:i/>
          <w:iCs/>
          <w:lang w:val="en-US"/>
        </w:rPr>
        <w:t>Port_Init</w:t>
      </w:r>
      <w:r>
        <w:rPr>
          <w:i/>
          <w:iCs/>
          <w:lang w:val="en-US"/>
        </w:rPr>
        <w:t>()</w:t>
      </w:r>
      <w:r w:rsidR="00C341B9" w:rsidRPr="00073B01">
        <w:rPr>
          <w:i/>
          <w:iCs/>
          <w:lang w:val="en-US"/>
        </w:rPr>
        <w:t>;</w:t>
      </w:r>
    </w:p>
    <w:p w14:paraId="6D797784" w14:textId="6F977F11" w:rsidR="00E00861" w:rsidRPr="00E00861" w:rsidRDefault="00E00861" w:rsidP="00E00861">
      <w:pPr>
        <w:pStyle w:val="ListParagraph"/>
        <w:numPr>
          <w:ilvl w:val="0"/>
          <w:numId w:val="26"/>
        </w:numPr>
        <w:rPr>
          <w:lang w:val="en-US"/>
        </w:rPr>
      </w:pPr>
      <w:r>
        <w:rPr>
          <w:lang w:val="en-US"/>
        </w:rPr>
        <w:t xml:space="preserve">The Port driver shall include </w:t>
      </w:r>
      <w:r>
        <w:rPr>
          <w:i/>
          <w:iCs/>
          <w:lang w:val="en-US"/>
        </w:rPr>
        <w:t xml:space="preserve">Init.h </w:t>
      </w:r>
      <w:r>
        <w:rPr>
          <w:lang w:val="en-US"/>
        </w:rPr>
        <w:t xml:space="preserve">and directly use the </w:t>
      </w:r>
      <w:r w:rsidRPr="00E00861">
        <w:rPr>
          <w:i/>
          <w:iCs/>
          <w:lang w:val="en-US"/>
        </w:rPr>
        <w:t>Init_gv_Full</w:t>
      </w:r>
      <w:r>
        <w:rPr>
          <w:i/>
          <w:iCs/>
          <w:lang w:val="en-US"/>
        </w:rPr>
        <w:t>*</w:t>
      </w:r>
      <w:r w:rsidRPr="00E00861">
        <w:rPr>
          <w:i/>
          <w:iCs/>
          <w:lang w:val="en-US"/>
        </w:rPr>
        <w:t>Bits</w:t>
      </w:r>
      <w:r>
        <w:rPr>
          <w:i/>
          <w:iCs/>
          <w:lang w:val="en-US"/>
        </w:rPr>
        <w:t xml:space="preserve">() </w:t>
      </w:r>
      <w:r>
        <w:rPr>
          <w:lang w:val="en-US"/>
        </w:rPr>
        <w:t xml:space="preserve">and / or </w:t>
      </w:r>
      <w:r w:rsidRPr="00E00861">
        <w:rPr>
          <w:i/>
          <w:iCs/>
          <w:lang w:val="en-US"/>
        </w:rPr>
        <w:t>Init_gv_Masked*Bits()</w:t>
      </w:r>
      <w:r>
        <w:rPr>
          <w:lang w:val="en-US"/>
        </w:rPr>
        <w:t xml:space="preserve"> </w:t>
      </w:r>
      <w:r w:rsidR="00BE2560">
        <w:rPr>
          <w:lang w:val="en-US"/>
        </w:rPr>
        <w:t>functions for loading registers.</w:t>
      </w:r>
    </w:p>
    <w:p w14:paraId="0690655B" w14:textId="2107D8DF" w:rsidR="00FC624B" w:rsidRPr="00C341B9" w:rsidRDefault="00C341B9" w:rsidP="00C341B9">
      <w:pPr>
        <w:pStyle w:val="ListParagraph"/>
        <w:numPr>
          <w:ilvl w:val="0"/>
          <w:numId w:val="26"/>
        </w:numPr>
        <w:rPr>
          <w:lang w:val="en-US"/>
        </w:rPr>
      </w:pPr>
      <w:r>
        <w:rPr>
          <w:lang w:val="en-US"/>
        </w:rPr>
        <w:t xml:space="preserve">The </w:t>
      </w:r>
      <w:r w:rsidR="000A370D">
        <w:rPr>
          <w:lang w:val="en-US"/>
        </w:rPr>
        <w:t>Port</w:t>
      </w:r>
      <w:r>
        <w:rPr>
          <w:lang w:val="en-US"/>
        </w:rPr>
        <w:t xml:space="preserve"> driver </w:t>
      </w:r>
      <w:r w:rsidR="00FC624B" w:rsidRPr="00C341B9">
        <w:rPr>
          <w:lang w:val="en-US"/>
        </w:rPr>
        <w:t>shall consist of the following files:</w:t>
      </w:r>
    </w:p>
    <w:p w14:paraId="77365DA8" w14:textId="6062F03F" w:rsidR="00FC624B" w:rsidRDefault="00D062C6" w:rsidP="00FC624B">
      <w:pPr>
        <w:pStyle w:val="ListParagraph"/>
        <w:numPr>
          <w:ilvl w:val="0"/>
          <w:numId w:val="36"/>
        </w:numPr>
        <w:rPr>
          <w:lang w:val="en-US"/>
        </w:rPr>
      </w:pPr>
      <w:r>
        <w:rPr>
          <w:i/>
          <w:iCs/>
          <w:lang w:val="en-US"/>
        </w:rPr>
        <w:t>Port</w:t>
      </w:r>
      <w:r w:rsidR="00FC624B" w:rsidRPr="00FC624B">
        <w:rPr>
          <w:i/>
          <w:iCs/>
          <w:lang w:val="en-US"/>
        </w:rPr>
        <w:t>.c</w:t>
      </w:r>
      <w:r w:rsidR="00FC624B">
        <w:rPr>
          <w:lang w:val="en-US"/>
        </w:rPr>
        <w:t>: Implements all the required interfaces</w:t>
      </w:r>
      <w:r w:rsidR="00AF260B">
        <w:rPr>
          <w:lang w:val="en-US"/>
        </w:rPr>
        <w:t xml:space="preserve"> in a generic way</w:t>
      </w:r>
      <w:r w:rsidR="00FC624B">
        <w:rPr>
          <w:lang w:val="en-US"/>
        </w:rPr>
        <w:t>.</w:t>
      </w:r>
    </w:p>
    <w:p w14:paraId="5CE4CB98" w14:textId="1734F703" w:rsidR="00AF260B" w:rsidRDefault="00D062C6" w:rsidP="00FC624B">
      <w:pPr>
        <w:pStyle w:val="ListParagraph"/>
        <w:numPr>
          <w:ilvl w:val="0"/>
          <w:numId w:val="36"/>
        </w:numPr>
        <w:rPr>
          <w:lang w:val="en-US"/>
        </w:rPr>
      </w:pPr>
      <w:r>
        <w:rPr>
          <w:i/>
          <w:iCs/>
          <w:lang w:val="en-US"/>
        </w:rPr>
        <w:t>Port</w:t>
      </w:r>
      <w:r w:rsidR="00AF260B" w:rsidRPr="00AF260B">
        <w:rPr>
          <w:lang w:val="en-US"/>
        </w:rPr>
        <w:t>.</w:t>
      </w:r>
      <w:r w:rsidR="00AF260B">
        <w:rPr>
          <w:i/>
          <w:iCs/>
          <w:lang w:val="en-US"/>
        </w:rPr>
        <w:t>h</w:t>
      </w:r>
      <w:r w:rsidR="00AF260B">
        <w:rPr>
          <w:lang w:val="en-US"/>
        </w:rPr>
        <w:t xml:space="preserve">: Exports all the </w:t>
      </w:r>
      <w:r w:rsidR="008C13BB">
        <w:rPr>
          <w:lang w:val="en-US"/>
        </w:rPr>
        <w:t xml:space="preserve">required </w:t>
      </w:r>
      <w:r w:rsidR="00AF260B">
        <w:rPr>
          <w:lang w:val="en-US"/>
        </w:rPr>
        <w:t xml:space="preserve">interfaces, data types and the </w:t>
      </w:r>
      <w:r w:rsidR="005072E3">
        <w:rPr>
          <w:lang w:val="en-US"/>
        </w:rPr>
        <w:t>post</w:t>
      </w:r>
      <w:r w:rsidR="00FD499B">
        <w:rPr>
          <w:lang w:val="en-US"/>
        </w:rPr>
        <w:t>-</w:t>
      </w:r>
      <w:r w:rsidR="005072E3">
        <w:rPr>
          <w:lang w:val="en-US"/>
        </w:rPr>
        <w:t>build</w:t>
      </w:r>
      <w:r w:rsidR="00FD499B">
        <w:rPr>
          <w:lang w:val="en-US"/>
        </w:rPr>
        <w:t xml:space="preserve"> </w:t>
      </w:r>
      <w:r w:rsidR="00AF260B">
        <w:rPr>
          <w:lang w:val="en-US"/>
        </w:rPr>
        <w:t>configuration.</w:t>
      </w:r>
    </w:p>
    <w:p w14:paraId="0F44ECC7" w14:textId="10984D06" w:rsidR="00AF260B" w:rsidRPr="00540C3F" w:rsidRDefault="00040606" w:rsidP="00540C3F">
      <w:pPr>
        <w:pStyle w:val="ListParagraph"/>
        <w:numPr>
          <w:ilvl w:val="0"/>
          <w:numId w:val="36"/>
        </w:numPr>
        <w:rPr>
          <w:lang w:val="en-US"/>
        </w:rPr>
      </w:pPr>
      <w:r w:rsidRPr="00540C3F">
        <w:rPr>
          <w:i/>
          <w:iCs/>
          <w:lang w:val="en-US"/>
        </w:rPr>
        <w:t>Port</w:t>
      </w:r>
      <w:r w:rsidR="00AF260B" w:rsidRPr="00540C3F">
        <w:rPr>
          <w:i/>
          <w:iCs/>
          <w:lang w:val="en-US"/>
        </w:rPr>
        <w:t>_</w:t>
      </w:r>
      <w:r w:rsidRPr="00540C3F">
        <w:rPr>
          <w:i/>
          <w:iCs/>
          <w:lang w:val="en-US"/>
        </w:rPr>
        <w:t>PB</w:t>
      </w:r>
      <w:r w:rsidR="00876385" w:rsidRPr="00540C3F">
        <w:rPr>
          <w:i/>
          <w:iCs/>
          <w:lang w:val="en-US"/>
        </w:rPr>
        <w:t>c</w:t>
      </w:r>
      <w:r w:rsidR="00AF260B" w:rsidRPr="00540C3F">
        <w:rPr>
          <w:i/>
          <w:iCs/>
          <w:lang w:val="en-US"/>
        </w:rPr>
        <w:t>fg.</w:t>
      </w:r>
      <w:r w:rsidR="00AF260B" w:rsidRPr="00540C3F">
        <w:rPr>
          <w:lang w:val="en-US"/>
        </w:rPr>
        <w:t xml:space="preserve">c: </w:t>
      </w:r>
      <w:r w:rsidR="00540C3F" w:rsidRPr="00540C3F">
        <w:rPr>
          <w:lang w:val="en-US"/>
        </w:rPr>
        <w:t xml:space="preserve">Defines the list of registers and values to be written for setting the </w:t>
      </w:r>
      <w:r w:rsidR="00EC434E">
        <w:rPr>
          <w:lang w:val="en-US"/>
        </w:rPr>
        <w:t>directions and modes of all the used uC pins</w:t>
      </w:r>
      <w:r w:rsidR="00540C3F" w:rsidRPr="00540C3F">
        <w:rPr>
          <w:lang w:val="en-US"/>
        </w:rPr>
        <w:t>.</w:t>
      </w: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8FBCD" w14:textId="77777777" w:rsidR="00D72EE6" w:rsidRDefault="00D72EE6">
      <w:r>
        <w:separator/>
      </w:r>
    </w:p>
  </w:endnote>
  <w:endnote w:type="continuationSeparator" w:id="0">
    <w:p w14:paraId="3442C88F" w14:textId="77777777" w:rsidR="00D72EE6" w:rsidRDefault="00D7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55F5A" w14:textId="77777777" w:rsidR="00D72EE6" w:rsidRDefault="00D72EE6">
      <w:r>
        <w:separator/>
      </w:r>
    </w:p>
  </w:footnote>
  <w:footnote w:type="continuationSeparator" w:id="0">
    <w:p w14:paraId="5C0650C5" w14:textId="77777777" w:rsidR="00D72EE6" w:rsidRDefault="00D72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17F6CCD"/>
    <w:multiLevelType w:val="hybridMultilevel"/>
    <w:tmpl w:val="90721036"/>
    <w:lvl w:ilvl="0" w:tplc="12D6FD98">
      <w:start w:val="1"/>
      <w:numFmt w:val="decimal"/>
      <w:lvlText w:val="[SWDE_DIO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5" w15:restartNumberingAfterBreak="0">
    <w:nsid w:val="1DFC7B5F"/>
    <w:multiLevelType w:val="hybridMultilevel"/>
    <w:tmpl w:val="6AB06FDC"/>
    <w:lvl w:ilvl="0" w:tplc="12D6FD98">
      <w:start w:val="1"/>
      <w:numFmt w:val="decimal"/>
      <w:lvlText w:val="[SWDE_DIO_%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F03EA"/>
    <w:multiLevelType w:val="hybridMultilevel"/>
    <w:tmpl w:val="E94E163E"/>
    <w:lvl w:ilvl="0" w:tplc="BC267B12">
      <w:start w:val="1"/>
      <w:numFmt w:val="decimal"/>
      <w:lvlText w:val="[SWDE_PORT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31" w15:restartNumberingAfterBreak="0">
    <w:nsid w:val="63EF1888"/>
    <w:multiLevelType w:val="hybridMultilevel"/>
    <w:tmpl w:val="AC42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FB5E7E"/>
    <w:multiLevelType w:val="hybridMultilevel"/>
    <w:tmpl w:val="7F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7" w15:restartNumberingAfterBreak="0">
    <w:nsid w:val="7BB2419D"/>
    <w:multiLevelType w:val="hybridMultilevel"/>
    <w:tmpl w:val="D9C6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4"/>
  </w:num>
  <w:num w:numId="4">
    <w:abstractNumId w:val="36"/>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4"/>
  </w:num>
  <w:num w:numId="15">
    <w:abstractNumId w:val="19"/>
  </w:num>
  <w:num w:numId="16">
    <w:abstractNumId w:val="2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8"/>
  </w:num>
  <w:num w:numId="20">
    <w:abstractNumId w:val="29"/>
  </w:num>
  <w:num w:numId="21">
    <w:abstractNumId w:val="17"/>
  </w:num>
  <w:num w:numId="22">
    <w:abstractNumId w:val="35"/>
  </w:num>
  <w:num w:numId="23">
    <w:abstractNumId w:val="16"/>
  </w:num>
  <w:num w:numId="24">
    <w:abstractNumId w:val="26"/>
  </w:num>
  <w:num w:numId="25">
    <w:abstractNumId w:val="32"/>
  </w:num>
  <w:num w:numId="26">
    <w:abstractNumId w:val="22"/>
  </w:num>
  <w:num w:numId="27">
    <w:abstractNumId w:val="25"/>
  </w:num>
  <w:num w:numId="28">
    <w:abstractNumId w:val="27"/>
  </w:num>
  <w:num w:numId="29">
    <w:abstractNumId w:val="13"/>
  </w:num>
  <w:num w:numId="30">
    <w:abstractNumId w:val="18"/>
  </w:num>
  <w:num w:numId="31">
    <w:abstractNumId w:val="23"/>
  </w:num>
  <w:num w:numId="32">
    <w:abstractNumId w:val="27"/>
  </w:num>
  <w:num w:numId="33">
    <w:abstractNumId w:val="10"/>
  </w:num>
  <w:num w:numId="34">
    <w:abstractNumId w:val="21"/>
  </w:num>
  <w:num w:numId="35">
    <w:abstractNumId w:val="11"/>
  </w:num>
  <w:num w:numId="36">
    <w:abstractNumId w:val="37"/>
  </w:num>
  <w:num w:numId="37">
    <w:abstractNumId w:val="33"/>
  </w:num>
  <w:num w:numId="38">
    <w:abstractNumId w:val="31"/>
  </w:num>
  <w:num w:numId="39">
    <w:abstractNumId w:val="15"/>
  </w:num>
  <w:num w:numId="4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0606"/>
    <w:rsid w:val="0004178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3B01"/>
    <w:rsid w:val="000757CA"/>
    <w:rsid w:val="00076576"/>
    <w:rsid w:val="00082381"/>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370D"/>
    <w:rsid w:val="000A3FE7"/>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43E"/>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9E5"/>
    <w:rsid w:val="001D0B37"/>
    <w:rsid w:val="001D0FBC"/>
    <w:rsid w:val="001D2146"/>
    <w:rsid w:val="001D2225"/>
    <w:rsid w:val="001D2C03"/>
    <w:rsid w:val="001D597F"/>
    <w:rsid w:val="001E01B7"/>
    <w:rsid w:val="001E229E"/>
    <w:rsid w:val="001E4841"/>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87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C659B"/>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2C0"/>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58"/>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11"/>
    <w:rsid w:val="004D1CDF"/>
    <w:rsid w:val="004D25DE"/>
    <w:rsid w:val="004D2625"/>
    <w:rsid w:val="004D434D"/>
    <w:rsid w:val="004D5362"/>
    <w:rsid w:val="004D7F63"/>
    <w:rsid w:val="004E00D5"/>
    <w:rsid w:val="004E214A"/>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2E3"/>
    <w:rsid w:val="00507DC4"/>
    <w:rsid w:val="0051050C"/>
    <w:rsid w:val="005147BF"/>
    <w:rsid w:val="005163D2"/>
    <w:rsid w:val="005168B9"/>
    <w:rsid w:val="00516BA8"/>
    <w:rsid w:val="00520DF1"/>
    <w:rsid w:val="00520E1C"/>
    <w:rsid w:val="00526FC2"/>
    <w:rsid w:val="0052720A"/>
    <w:rsid w:val="0053014A"/>
    <w:rsid w:val="005307F0"/>
    <w:rsid w:val="005316E6"/>
    <w:rsid w:val="00532948"/>
    <w:rsid w:val="00533491"/>
    <w:rsid w:val="005346C2"/>
    <w:rsid w:val="0053557D"/>
    <w:rsid w:val="005377B3"/>
    <w:rsid w:val="005403FE"/>
    <w:rsid w:val="00540C3F"/>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70429"/>
    <w:rsid w:val="00671559"/>
    <w:rsid w:val="00674319"/>
    <w:rsid w:val="00674710"/>
    <w:rsid w:val="006775E7"/>
    <w:rsid w:val="00681AB5"/>
    <w:rsid w:val="006833F4"/>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C685A"/>
    <w:rsid w:val="006D0160"/>
    <w:rsid w:val="006D166A"/>
    <w:rsid w:val="006D1E33"/>
    <w:rsid w:val="006D2E6B"/>
    <w:rsid w:val="006D6776"/>
    <w:rsid w:val="006E18E4"/>
    <w:rsid w:val="006E1E60"/>
    <w:rsid w:val="006E4F5B"/>
    <w:rsid w:val="006E602C"/>
    <w:rsid w:val="006F0B83"/>
    <w:rsid w:val="006F0F39"/>
    <w:rsid w:val="006F0FC3"/>
    <w:rsid w:val="006F24E8"/>
    <w:rsid w:val="006F25E8"/>
    <w:rsid w:val="006F2E33"/>
    <w:rsid w:val="006F30DB"/>
    <w:rsid w:val="006F4750"/>
    <w:rsid w:val="006F6002"/>
    <w:rsid w:val="00700FCA"/>
    <w:rsid w:val="0070170B"/>
    <w:rsid w:val="007043C7"/>
    <w:rsid w:val="00704806"/>
    <w:rsid w:val="00704FB6"/>
    <w:rsid w:val="007119B1"/>
    <w:rsid w:val="00720847"/>
    <w:rsid w:val="007213EE"/>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549EA"/>
    <w:rsid w:val="007556D4"/>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210"/>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7638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13BB"/>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6FE"/>
    <w:rsid w:val="009A4E9E"/>
    <w:rsid w:val="009B17CC"/>
    <w:rsid w:val="009B1DAC"/>
    <w:rsid w:val="009B1F24"/>
    <w:rsid w:val="009C025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1B50"/>
    <w:rsid w:val="00AF260B"/>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36D3"/>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0B5"/>
    <w:rsid w:val="00B942B8"/>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B54FB"/>
    <w:rsid w:val="00BC0044"/>
    <w:rsid w:val="00BC162A"/>
    <w:rsid w:val="00BC2370"/>
    <w:rsid w:val="00BD084A"/>
    <w:rsid w:val="00BD1396"/>
    <w:rsid w:val="00BD21CD"/>
    <w:rsid w:val="00BD44C7"/>
    <w:rsid w:val="00BD7394"/>
    <w:rsid w:val="00BE06E9"/>
    <w:rsid w:val="00BE2560"/>
    <w:rsid w:val="00BE310F"/>
    <w:rsid w:val="00BE5230"/>
    <w:rsid w:val="00BE5829"/>
    <w:rsid w:val="00BE657D"/>
    <w:rsid w:val="00BF0C35"/>
    <w:rsid w:val="00BF0D02"/>
    <w:rsid w:val="00BF0F21"/>
    <w:rsid w:val="00BF34D2"/>
    <w:rsid w:val="00BF41B5"/>
    <w:rsid w:val="00BF4BCA"/>
    <w:rsid w:val="00C007C0"/>
    <w:rsid w:val="00C022A3"/>
    <w:rsid w:val="00C0401D"/>
    <w:rsid w:val="00C044FC"/>
    <w:rsid w:val="00C06D16"/>
    <w:rsid w:val="00C06DDA"/>
    <w:rsid w:val="00C07807"/>
    <w:rsid w:val="00C10E08"/>
    <w:rsid w:val="00C12627"/>
    <w:rsid w:val="00C14A43"/>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41B9"/>
    <w:rsid w:val="00C37A90"/>
    <w:rsid w:val="00C43A55"/>
    <w:rsid w:val="00C46725"/>
    <w:rsid w:val="00C46981"/>
    <w:rsid w:val="00C50FAA"/>
    <w:rsid w:val="00C51EA1"/>
    <w:rsid w:val="00C52469"/>
    <w:rsid w:val="00C6098E"/>
    <w:rsid w:val="00C65E97"/>
    <w:rsid w:val="00C66AFC"/>
    <w:rsid w:val="00C674CB"/>
    <w:rsid w:val="00C73FD5"/>
    <w:rsid w:val="00C74812"/>
    <w:rsid w:val="00C7780E"/>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62C6"/>
    <w:rsid w:val="00D070AC"/>
    <w:rsid w:val="00D12DC9"/>
    <w:rsid w:val="00D15E2E"/>
    <w:rsid w:val="00D16CE1"/>
    <w:rsid w:val="00D172A4"/>
    <w:rsid w:val="00D17C17"/>
    <w:rsid w:val="00D2191D"/>
    <w:rsid w:val="00D336D3"/>
    <w:rsid w:val="00D339C5"/>
    <w:rsid w:val="00D34477"/>
    <w:rsid w:val="00D34C61"/>
    <w:rsid w:val="00D34DB6"/>
    <w:rsid w:val="00D36989"/>
    <w:rsid w:val="00D37868"/>
    <w:rsid w:val="00D42153"/>
    <w:rsid w:val="00D42405"/>
    <w:rsid w:val="00D43C03"/>
    <w:rsid w:val="00D44346"/>
    <w:rsid w:val="00D44858"/>
    <w:rsid w:val="00D45CF7"/>
    <w:rsid w:val="00D536AD"/>
    <w:rsid w:val="00D53C96"/>
    <w:rsid w:val="00D57501"/>
    <w:rsid w:val="00D62EA4"/>
    <w:rsid w:val="00D63A20"/>
    <w:rsid w:val="00D6476B"/>
    <w:rsid w:val="00D65AB5"/>
    <w:rsid w:val="00D6757D"/>
    <w:rsid w:val="00D7028B"/>
    <w:rsid w:val="00D71D62"/>
    <w:rsid w:val="00D72EE6"/>
    <w:rsid w:val="00D7353B"/>
    <w:rsid w:val="00D75545"/>
    <w:rsid w:val="00D7559B"/>
    <w:rsid w:val="00D763E1"/>
    <w:rsid w:val="00D77E4F"/>
    <w:rsid w:val="00D80274"/>
    <w:rsid w:val="00D809F0"/>
    <w:rsid w:val="00D8109F"/>
    <w:rsid w:val="00D81F17"/>
    <w:rsid w:val="00D81F1A"/>
    <w:rsid w:val="00D84F73"/>
    <w:rsid w:val="00D85903"/>
    <w:rsid w:val="00D86AF6"/>
    <w:rsid w:val="00D913AC"/>
    <w:rsid w:val="00D91E0F"/>
    <w:rsid w:val="00D93F90"/>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0C9A"/>
    <w:rsid w:val="00DF5418"/>
    <w:rsid w:val="00DF65AD"/>
    <w:rsid w:val="00DF6F23"/>
    <w:rsid w:val="00DF7148"/>
    <w:rsid w:val="00DF7D5A"/>
    <w:rsid w:val="00E00861"/>
    <w:rsid w:val="00E00C01"/>
    <w:rsid w:val="00E013F1"/>
    <w:rsid w:val="00E017AB"/>
    <w:rsid w:val="00E01F45"/>
    <w:rsid w:val="00E02244"/>
    <w:rsid w:val="00E03E37"/>
    <w:rsid w:val="00E0491B"/>
    <w:rsid w:val="00E058E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2C84"/>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2F5"/>
    <w:rsid w:val="00EB6461"/>
    <w:rsid w:val="00EB7471"/>
    <w:rsid w:val="00EC00CB"/>
    <w:rsid w:val="00EC0D2A"/>
    <w:rsid w:val="00EC426C"/>
    <w:rsid w:val="00EC434E"/>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321"/>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27C1F"/>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24B"/>
    <w:rsid w:val="00FC6B6A"/>
    <w:rsid w:val="00FD0896"/>
    <w:rsid w:val="00FD2AA9"/>
    <w:rsid w:val="00FD499B"/>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60">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6480">
      <w:bodyDiv w:val="1"/>
      <w:marLeft w:val="0"/>
      <w:marRight w:val="0"/>
      <w:marTop w:val="0"/>
      <w:marBottom w:val="0"/>
      <w:divBdr>
        <w:top w:val="none" w:sz="0" w:space="0" w:color="auto"/>
        <w:left w:val="none" w:sz="0" w:space="0" w:color="auto"/>
        <w:bottom w:val="none" w:sz="0" w:space="0" w:color="auto"/>
        <w:right w:val="none" w:sz="0" w:space="0" w:color="auto"/>
      </w:divBdr>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34F754A-8EC2-4DCA-B0DC-D5FAA96786BD}"/>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6</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1062</cp:revision>
  <dcterms:created xsi:type="dcterms:W3CDTF">2019-10-31T11:37:00Z</dcterms:created>
  <dcterms:modified xsi:type="dcterms:W3CDTF">2021-08-04T18:17:00Z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