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before="0" w:line="240" w:lineRule="auto"/>
        <w:ind w:left="720" w:hanging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58795" cy="1169670"/>
            <wp:effectExtent b="0" l="0" r="0" t="0"/>
            <wp:docPr descr="Escola Britânica de Artes Criativas" id="4" name="image2.png"/>
            <a:graphic>
              <a:graphicData uri="http://schemas.openxmlformats.org/drawingml/2006/picture">
                <pic:pic>
                  <pic:nvPicPr>
                    <pic:cNvPr descr="Escola Britânica de Artes Criativas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169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Anderson Lima dos Santos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Sorocaba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presente trabalho tem como finalidade analisar qualitativamente o tênis Adidas Gran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Court que a algum tempo faz parte do uso diário do autor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presente trabalho.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tênis analisado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trabalho refere-se a um objeto usado no dia a dia do autor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trabalho, daí nasce a ideia, da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experiência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algo do cotidiano. Ao trazer um objeto tão rotineiro a uma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análise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qualitativa como esta que destaca diversos pontos importantes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um bom tênis deve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ter, intentasse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trazer um olhar mais apurado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crítico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sobre quais bens de consumo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têm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sido mais recorrentes no uso diário do referido autor bem como a qualidade destes.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presente projeto visa analisar alguns aspectos do tênis Gran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Court fabricado pela Adidas, trazer luz sobre aspectos que se sobressaltam e também aos que poderiam ser melhor ajustados para garantir um maior conforto e satisfação do usuário 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0.0" w:type="dxa"/>
        <w:jc w:val="left"/>
        <w:tblInd w:w="0.0" w:type="dxa"/>
        <w:tblLayout w:type="fixed"/>
        <w:tblLook w:val="0400"/>
      </w:tblPr>
      <w:tblGrid>
        <w:gridCol w:w="3822"/>
        <w:gridCol w:w="5528"/>
        <w:tblGridChange w:id="0">
          <w:tblGrid>
            <w:gridCol w:w="3822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Tenis Gran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Court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Adidas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3">
            <w:pPr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 meses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Modelo preto listras brancas</w:t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Ind w:w="0.0" w:type="dxa"/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9">
            <w:pPr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B">
            <w:pPr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</w:t>
            </w:r>
          </w:p>
        </w:tc>
      </w:tr>
      <w:tr>
        <w:trPr>
          <w:cantSplit w:val="0"/>
          <w:trHeight w:val="13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5D">
            <w:pPr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Realmente, o uso desse modelo se encaixa em quase todas as ocasiões, é um modelo que se adapta perfeitamente ao restante do conjunto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Solado de borracha, forro têxtil, sintético imitação de couro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160" w:before="0" w:line="360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Suja muito pouco e mesmo sujo não aparenta um aspecto tão ruim, um paninho umedecido já consegue resolver na maioria dos casos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Tênis preto com detalhe branco na parte de trás e dos lados com 3 listras na diagonal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160" w:before="0"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gem 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imagem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160" w:before="0"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Conforto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Nos primeiros dias de uso era muito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difícil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caminhar com ele devido a dor nos dedos, depois de 1 mês ficou 100%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confortável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160" w:before="0"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produto analisado, o tênis Gran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Court se mostrou um lindo e elegante calçado para em diversas ocasiões, desde jantares formais até dia de trabalho.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Evidências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560445" cy="4445000"/>
            <wp:effectExtent b="0" l="0" r="0" t="0"/>
            <wp:docPr descr="Interface gráfica do usuário, Site&#10;&#10;Descrição gerada automaticamente" id="6" name="image3.jpg"/>
            <a:graphic>
              <a:graphicData uri="http://schemas.openxmlformats.org/drawingml/2006/picture">
                <pic:pic>
                  <pic:nvPicPr>
                    <pic:cNvPr descr="Interface gráfica do usuário, Site&#10;&#10;Descrição gerada automaticamente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1: </w:t>
      </w:r>
      <w:r w:rsidDel="00000000" w:rsidR="00000000" w:rsidRPr="00000000">
        <w:rPr>
          <w:rFonts w:ascii="Arial" w:cs="Arial" w:eastAsia="Arial" w:hAnsi="Arial"/>
          <w:rtl w:val="0"/>
        </w:rPr>
        <w:t xml:space="preserve">Tenis Grand Court de 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/>
        <w:drawing>
          <wp:inline distB="0" distT="0" distL="0" distR="0">
            <wp:extent cx="2440305" cy="2402205"/>
            <wp:effectExtent b="0" l="0" r="0" t="0"/>
            <wp:docPr descr="Mouse em cima da mesa&#10;&#10;Descrição gerada automaticamente com confiança média" id="5" name="image1.jpg"/>
            <a:graphic>
              <a:graphicData uri="http://schemas.openxmlformats.org/drawingml/2006/picture">
                <pic:pic>
                  <pic:nvPicPr>
                    <pic:cNvPr descr="Mouse em cima da mesa&#10;&#10;Descrição gerada automaticamente com confiança média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2402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2: </w:t>
      </w:r>
      <w:r w:rsidDel="00000000" w:rsidR="00000000" w:rsidRPr="00000000">
        <w:rPr>
          <w:rFonts w:ascii="Arial" w:cs="Arial" w:eastAsia="Arial" w:hAnsi="Arial"/>
          <w:rtl w:val="0"/>
        </w:rPr>
        <w:t xml:space="preserve"> Tenis Grand Court de perspectiva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https://www.adidas.com.br/tenis-grand-court-base/EE7900.html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analisar o tênis citado foi constatado que se trata de um produto que apesar do desconforto inicial percebido devido o produto ainda não estar laceado, se configura uma boa aquisição levando em conta principalmente o seu design. Esperasse também que conforme o tempo for passando a durabilidade do produto acompanhe as expectativas geradas por se tratar de um produto original.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Tênis Grand Tour. Adidas. </w:t>
      </w: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highlight w:val="white"/>
          <w:rtl w:val="0"/>
        </w:rPr>
        <w:t xml:space="preserve"> Disponível em: &lt;URL&gt;. Acesso em: 29 de junho de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before="0" w:line="360" w:lineRule="auto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0"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6B1007"/>
    <w:pPr>
      <w:numPr>
        <w:ilvl w:val="0"/>
        <w:numId w:val="1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 w:val="1"/>
    <w:qFormat w:val="1"/>
    <w:rsid w:val="00E209A6"/>
    <w:pPr>
      <w:numPr>
        <w:ilvl w:val="1"/>
        <w:numId w:val="1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nkdaInternet">
    <w:name w:val="Link da Internet"/>
    <w:basedOn w:val="DefaultParagraphFont"/>
    <w:uiPriority w:val="99"/>
    <w:unhideWhenUsed w:val="1"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 w:val="1"/>
    <w:rsid w:val="0005157A"/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 w:val="1"/>
    <w:rsid w:val="0005157A"/>
    <w:rPr>
      <w:rFonts w:eastAsia="" w:eastAsiaTheme="minorEastAsia"/>
      <w:color w:val="5a5a5a" w:themeColor="text1" w:themeTint="0000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 w:val="1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 w:val="1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character" w:styleId="Vnculodendice">
    <w:name w:val="Vínculo de índice"/>
    <w:qFormat w:val="1"/>
    <w:rPr/>
  </w:style>
  <w:style w:type="character" w:styleId="Marcas">
    <w:name w:val="Marcas"/>
    <w:qFormat w:val="1"/>
    <w:rPr>
      <w:rFonts w:ascii="OpenSymbol" w:cs="OpenSymbol" w:eastAsia="OpenSymbol" w:hAnsi="OpenSymbol"/>
    </w:rPr>
  </w:style>
  <w:style w:type="character" w:styleId="Smbolosdenumerao">
    <w:name w:val="Símbolos de numeração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872A27"/>
    <w:pPr>
      <w:spacing w:after="160" w:before="0"/>
      <w:ind w:left="720" w:hanging="0"/>
      <w:contextualSpacing w:val="1"/>
    </w:pPr>
    <w:rPr/>
  </w:style>
  <w:style w:type="paragraph" w:styleId="Ttulododocumento">
    <w:name w:val="Title"/>
    <w:basedOn w:val="Normal"/>
    <w:next w:val="Normal"/>
    <w:link w:val="TtuloChar"/>
    <w:uiPriority w:val="10"/>
    <w:qFormat w:val="1"/>
    <w:rsid w:val="0005157A"/>
    <w:pPr>
      <w:spacing w:after="0" w:before="0" w:line="240" w:lineRule="auto"/>
      <w:contextualSpacing w:val="1"/>
    </w:pPr>
    <w:rPr>
      <w:rFonts w:ascii="Calibri Light" w:cs="" w:eastAsia="" w:hAnsi="Calibri Light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05157A"/>
    <w:pPr/>
    <w:rPr>
      <w:rFonts w:eastAsia="" w:eastAsiaTheme="minorEastAsia"/>
      <w:color w:val="5a5a5a" w:themeColor="text1" w:themeTint="0000A5"/>
      <w:spacing w:val="15"/>
    </w:rPr>
  </w:style>
  <w:style w:type="paragraph" w:styleId="TOCHeading">
    <w:name w:val="TOC Heading"/>
    <w:basedOn w:val="Ttulo1"/>
    <w:next w:val="Normal"/>
    <w:uiPriority w:val="39"/>
    <w:unhideWhenUsed w:val="1"/>
    <w:qFormat w:val="1"/>
    <w:rsid w:val="000A411C"/>
    <w:pPr>
      <w:keepNext w:val="1"/>
      <w:keepLines w:val="1"/>
      <w:numPr>
        <w:ilvl w:val="0"/>
        <w:numId w:val="0"/>
      </w:numPr>
      <w:spacing w:after="0" w:before="480" w:line="276" w:lineRule="auto"/>
      <w:jc w:val="left"/>
    </w:pPr>
    <w:rPr>
      <w:rFonts w:ascii="Calibri Light" w:cs="" w:eastAsia="" w:hAnsi="Calibri Light"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 w:hanging="0"/>
    </w:pPr>
    <w:rPr>
      <w:b w:val="1"/>
      <w:bCs w:val="1"/>
    </w:rPr>
  </w:style>
  <w:style w:type="paragraph" w:styleId="Sumrio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 w:before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KiDbS8WDnRyFFI0nTz6KrNGrcw==">AMUW2mULnssM6VBXwpk63OyOdSe1LQsjGA+hBocsKJmcWIX/d2NRpwFi01uEcCaO601BVzy2ftzVxfAM+d54eVJEzqoSKlB17rDMgssEPzSwBl03ApLlfFkjfbydrMJSjE7DegQxqk7zOnAZh1ZmVcxaEXsLKh0eV8auKK6Vay5lYA7aBgX9ah/gFb94Gz4B+kN9xvXZff5T5yE5ZLCisqf2oYBLz9R0BBRJPF1OIfsjStL18Qb5BnSEAhpRy/wtmb5SC2E18y/9uIpQeSGukzJ/Z6P3slby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