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1EF0" w:rsidRPr="00A44BFF" w:rsidRDefault="001900A1" w:rsidP="00A44BFF">
      <w:pPr>
        <w:jc w:val="center"/>
        <w:rPr>
          <w:rFonts w:cstheme="minorHAnsi"/>
          <w:i/>
          <w:iCs/>
        </w:rPr>
      </w:pPr>
      <w:r w:rsidRPr="00A44BFF">
        <w:rPr>
          <w:rFonts w:cstheme="minorHAnsi"/>
          <w:i/>
          <w:iCs/>
        </w:rPr>
        <w:t xml:space="preserve">Heroes of </w:t>
      </w:r>
      <w:proofErr w:type="spellStart"/>
      <w:r w:rsidRPr="00A44BFF">
        <w:rPr>
          <w:rFonts w:cstheme="minorHAnsi"/>
          <w:i/>
          <w:iCs/>
        </w:rPr>
        <w:t>Pymoli</w:t>
      </w:r>
      <w:proofErr w:type="spellEnd"/>
    </w:p>
    <w:p w:rsidR="00B82E87" w:rsidRDefault="00B82E87">
      <w:pPr>
        <w:rPr>
          <w:i/>
          <w:iCs/>
        </w:rPr>
      </w:pPr>
    </w:p>
    <w:p w:rsidR="001900A1" w:rsidRDefault="00A44BFF">
      <w:r>
        <w:rPr>
          <w:i/>
          <w:iCs/>
        </w:rPr>
        <w:t xml:space="preserve">Heroes of </w:t>
      </w:r>
      <w:proofErr w:type="spellStart"/>
      <w:r>
        <w:rPr>
          <w:i/>
          <w:iCs/>
        </w:rPr>
        <w:t>Pymoli</w:t>
      </w:r>
      <w:proofErr w:type="spellEnd"/>
      <w:r>
        <w:rPr>
          <w:i/>
          <w:iCs/>
        </w:rPr>
        <w:t xml:space="preserve"> </w:t>
      </w:r>
      <w:r>
        <w:t xml:space="preserve">(HOP), the newest offering from </w:t>
      </w:r>
      <w:proofErr w:type="spellStart"/>
      <w:r w:rsidRPr="00862E10">
        <w:rPr>
          <w:i/>
          <w:iCs/>
        </w:rPr>
        <w:t>Pymol</w:t>
      </w:r>
      <w:proofErr w:type="spellEnd"/>
      <w:r w:rsidRPr="00862E10">
        <w:rPr>
          <w:i/>
          <w:iCs/>
        </w:rPr>
        <w:t xml:space="preserve"> Games</w:t>
      </w:r>
      <w:r>
        <w:t>, is small</w:t>
      </w:r>
      <w:r w:rsidR="00862E10">
        <w:t xml:space="preserve"> </w:t>
      </w:r>
      <w:r>
        <w:t xml:space="preserve">but growing. While the total revenue for the first month is below where the company had </w:t>
      </w:r>
      <w:r w:rsidR="00862E10">
        <w:t xml:space="preserve">originally </w:t>
      </w:r>
      <w:r>
        <w:t xml:space="preserve">hoped, the purchase/player ratio is promising. Given more users, HOP may generate revenue to sustain other projects within the company. However, more data regarding the timing of purchases </w:t>
      </w:r>
      <w:r w:rsidR="00862E10">
        <w:t xml:space="preserve">and duration between purchases </w:t>
      </w:r>
      <w:r>
        <w:t>(</w:t>
      </w:r>
      <w:proofErr w:type="spellStart"/>
      <w:r>
        <w:t>ie</w:t>
      </w:r>
      <w:proofErr w:type="spellEnd"/>
      <w:r>
        <w:t>. at launch</w:t>
      </w:r>
      <w:r w:rsidR="00862E10">
        <w:t xml:space="preserve"> or over larger periods of time</w:t>
      </w:r>
      <w:r>
        <w:t xml:space="preserve">) is </w:t>
      </w:r>
      <w:r w:rsidR="00862E10">
        <w:t xml:space="preserve">absolutely </w:t>
      </w:r>
      <w:r>
        <w:t>necessary to conclude with more certainty sustainability and purchase rates for the game.</w:t>
      </w:r>
      <w:r w:rsidR="00984015">
        <w:t xml:space="preserve"> As such, all of these conclusions regarding profitability should be taken </w:t>
      </w:r>
      <w:r w:rsidR="00862E10">
        <w:t>loosely</w:t>
      </w:r>
      <w:r w:rsidR="00984015">
        <w:t>.</w:t>
      </w:r>
    </w:p>
    <w:p w:rsidR="00A44BFF" w:rsidRPr="00A44BFF" w:rsidRDefault="00A44BFF">
      <w:pPr>
        <w:rPr>
          <w:i/>
          <w:iCs/>
        </w:rPr>
      </w:pPr>
    </w:p>
    <w:p w:rsidR="00FE50DD" w:rsidRDefault="001900A1" w:rsidP="00A44BFF">
      <w:pPr>
        <w:pStyle w:val="ListParagraph"/>
        <w:numPr>
          <w:ilvl w:val="0"/>
          <w:numId w:val="1"/>
        </w:numPr>
      </w:pPr>
      <w:r>
        <w:t>576/1163</w:t>
      </w:r>
      <w:r w:rsidR="00A44BFF">
        <w:t xml:space="preserve"> of our total players</w:t>
      </w:r>
      <w:r>
        <w:t xml:space="preserve"> have </w:t>
      </w:r>
      <w:r w:rsidR="00C06DC3">
        <w:t>made at least one purchase in our game</w:t>
      </w:r>
      <w:r w:rsidR="000055BC">
        <w:t>,</w:t>
      </w:r>
      <w:r w:rsidR="000055BC">
        <w:rPr>
          <w:rStyle w:val="FootnoteReference"/>
        </w:rPr>
        <w:footnoteReference w:id="1"/>
      </w:r>
      <w:r w:rsidR="00A44BFF">
        <w:t xml:space="preserve"> resulting in </w:t>
      </w:r>
      <w:r w:rsidR="00FE50DD">
        <w:t>$2</w:t>
      </w:r>
      <w:r w:rsidR="00C06DC3">
        <w:t>,</w:t>
      </w:r>
      <w:r w:rsidR="00FE50DD">
        <w:t>379.77 total revenue</w:t>
      </w:r>
      <w:r w:rsidR="00A44BFF">
        <w:t>.</w:t>
      </w:r>
      <w:r w:rsidR="000055BC">
        <w:rPr>
          <w:rStyle w:val="FootnoteReference"/>
        </w:rPr>
        <w:footnoteReference w:id="2"/>
      </w:r>
      <w:r w:rsidR="00A44BFF">
        <w:t xml:space="preserve"> While the numbers are small in comparison to some of the larger games on Steam—some of which have hundreds of </w:t>
      </w:r>
      <w:proofErr w:type="spellStart"/>
      <w:r w:rsidR="00A44BFF">
        <w:t>thousand</w:t>
      </w:r>
      <w:proofErr w:type="spellEnd"/>
      <w:r w:rsidR="00C06DC3">
        <w:t xml:space="preserve"> of players over time</w:t>
      </w:r>
      <w:r w:rsidR="00984015">
        <w:t>—if HOP achieves even a modicum of that success, the game may become</w:t>
      </w:r>
      <w:r w:rsidR="00C06DC3">
        <w:t xml:space="preserve"> </w:t>
      </w:r>
      <w:r w:rsidR="00984015">
        <w:t xml:space="preserve">profitable. </w:t>
      </w:r>
      <w:proofErr w:type="spellStart"/>
      <w:r w:rsidR="00984015">
        <w:rPr>
          <w:i/>
          <w:iCs/>
        </w:rPr>
        <w:t>Dota</w:t>
      </w:r>
      <w:proofErr w:type="spellEnd"/>
      <w:r w:rsidR="00984015">
        <w:rPr>
          <w:i/>
          <w:iCs/>
        </w:rPr>
        <w:t xml:space="preserve"> </w:t>
      </w:r>
      <w:proofErr w:type="spellStart"/>
      <w:r w:rsidR="00984015">
        <w:rPr>
          <w:i/>
          <w:iCs/>
        </w:rPr>
        <w:t>Underlords</w:t>
      </w:r>
      <w:proofErr w:type="spellEnd"/>
      <w:r w:rsidR="00984015">
        <w:t xml:space="preserve">, a recent </w:t>
      </w:r>
      <w:r w:rsidR="00C06DC3">
        <w:t xml:space="preserve">Free-to-Play (F2P) </w:t>
      </w:r>
      <w:r w:rsidR="00984015">
        <w:t xml:space="preserve">release by Valve, </w:t>
      </w:r>
      <w:r w:rsidR="00C06DC3">
        <w:t>cracked the Top-10 Played on Steam, with</w:t>
      </w:r>
      <w:r w:rsidR="00984015">
        <w:t xml:space="preserve"> over 40,000 daily players</w:t>
      </w:r>
      <w:r w:rsidR="00C06DC3">
        <w:t>. By comparison, Albion Online, a F2P by a small studio, is near the bottom of the Top-100 Played, with roughly 3,300-4,700 daily players.</w:t>
      </w:r>
      <w:r w:rsidR="00984015">
        <w:rPr>
          <w:rStyle w:val="FootnoteReference"/>
        </w:rPr>
        <w:footnoteReference w:id="3"/>
      </w:r>
      <w:r w:rsidR="00C06DC3">
        <w:t xml:space="preserve"> While we should not expect the same success as Valve, seeing a player-base of </w:t>
      </w:r>
      <w:r w:rsidR="000055BC">
        <w:t xml:space="preserve">even 3,000 </w:t>
      </w:r>
      <w:r w:rsidR="000055BC" w:rsidRPr="00F7426F">
        <w:rPr>
          <w:i/>
          <w:iCs/>
        </w:rPr>
        <w:t>monthly</w:t>
      </w:r>
      <w:r w:rsidR="000055BC">
        <w:t xml:space="preserve"> users would </w:t>
      </w:r>
      <w:r w:rsidR="00F7426F">
        <w:t xml:space="preserve">theoretically </w:t>
      </w:r>
      <w:r w:rsidR="000055BC">
        <w:t>increase total revenue.</w:t>
      </w:r>
    </w:p>
    <w:p w:rsidR="00862E10" w:rsidRDefault="00862E10" w:rsidP="00862E10">
      <w:pPr>
        <w:pStyle w:val="ListParagraph"/>
      </w:pPr>
    </w:p>
    <w:p w:rsidR="001900A1" w:rsidRDefault="000055BC" w:rsidP="00FD0865">
      <w:pPr>
        <w:pStyle w:val="ListParagraph"/>
        <w:numPr>
          <w:ilvl w:val="0"/>
          <w:numId w:val="1"/>
        </w:numPr>
      </w:pPr>
      <w:r>
        <w:t>Our sales numbers largely reflect our player-base. Roughly 84% of our players are male, which matches our sales figures for male players</w:t>
      </w:r>
      <w:r w:rsidR="00862E10">
        <w:t>. Concurrently, 14% of our player-base is female, which also matches our sales figures to female players.</w:t>
      </w:r>
      <w:r w:rsidR="00862E10">
        <w:rPr>
          <w:rStyle w:val="FootnoteReference"/>
        </w:rPr>
        <w:footnoteReference w:id="4"/>
      </w:r>
      <w:r w:rsidR="00862E10">
        <w:t xml:space="preserve"> Yet, while the player-base is mostly male, female players actually spent more on average. Moreover, while the sample size</w:t>
      </w:r>
      <w:r w:rsidR="008C4407">
        <w:t>/group information</w:t>
      </w:r>
      <w:r w:rsidR="00862E10">
        <w:t xml:space="preserve"> is </w:t>
      </w:r>
      <w:r w:rsidR="008C4407">
        <w:t>too small and vague to draw a definitive conclusion</w:t>
      </w:r>
      <w:r w:rsidR="00862E10">
        <w:t>, Non-Binary and players who chose not to disclose gender actually spent the most on average.</w:t>
      </w:r>
      <w:r w:rsidR="00862E10">
        <w:rPr>
          <w:rStyle w:val="FootnoteReference"/>
        </w:rPr>
        <w:footnoteReference w:id="5"/>
      </w:r>
      <w:r w:rsidR="00862E10">
        <w:t xml:space="preserve"> This may say more regarding the spending habits of each gender, but the results may prove useful when considering if/how to market in-game purchases to each player group.</w:t>
      </w:r>
      <w:r w:rsidR="008C4407">
        <w:t xml:space="preserve"> The 3</w:t>
      </w:r>
      <w:r w:rsidR="008C4407" w:rsidRPr="00FD0865">
        <w:rPr>
          <w:vertAlign w:val="superscript"/>
        </w:rPr>
        <w:t>rd</w:t>
      </w:r>
      <w:r w:rsidR="008C4407">
        <w:t xml:space="preserve"> highest spender, for example, identifies as female,</w:t>
      </w:r>
      <w:r w:rsidR="008C4407">
        <w:rPr>
          <w:rStyle w:val="FootnoteReference"/>
        </w:rPr>
        <w:footnoteReference w:id="6"/>
      </w:r>
      <w:r w:rsidR="008C4407">
        <w:t xml:space="preserve"> so it may prove useful to consider further market research for gender.</w:t>
      </w:r>
    </w:p>
    <w:p w:rsidR="00F7426F" w:rsidRDefault="00F7426F" w:rsidP="00F7426F">
      <w:pPr>
        <w:pStyle w:val="ListParagraph"/>
      </w:pPr>
    </w:p>
    <w:p w:rsidR="00F7426F" w:rsidRDefault="00F7426F" w:rsidP="00F7426F">
      <w:pPr>
        <w:pStyle w:val="ListParagraph"/>
      </w:pPr>
      <w:r>
        <w:t>Similarly, our sales numbers for various age groups correspond with our understanding of the player-base at large. Age 20-24 remains the largest portion of our player-base.</w:t>
      </w:r>
      <w:r>
        <w:rPr>
          <w:rStyle w:val="FootnoteReference"/>
        </w:rPr>
        <w:footnoteReference w:id="7"/>
      </w:r>
    </w:p>
    <w:p w:rsidR="008C4407" w:rsidRDefault="008C4407" w:rsidP="008C4407">
      <w:pPr>
        <w:pStyle w:val="ListParagraph"/>
      </w:pPr>
    </w:p>
    <w:p w:rsidR="00F7426F" w:rsidRDefault="008C4407" w:rsidP="00F7426F">
      <w:pPr>
        <w:pStyle w:val="ListParagraph"/>
        <w:numPr>
          <w:ilvl w:val="0"/>
          <w:numId w:val="1"/>
        </w:numPr>
      </w:pPr>
      <w:r>
        <w:lastRenderedPageBreak/>
        <w:t xml:space="preserve">Our Sales Team should definitely modify item stats and pricing over time. </w:t>
      </w:r>
      <w:r>
        <w:rPr>
          <w:i/>
          <w:iCs/>
        </w:rPr>
        <w:t>Pursuit, Cudgel of Necromancy</w:t>
      </w:r>
      <w:r>
        <w:t>, for example, was a popular purchase by our players, but generated far less revenue than other similarly-popular items, due to its lower price.</w:t>
      </w:r>
      <w:r w:rsidR="00F7426F">
        <w:rPr>
          <w:rStyle w:val="FootnoteReference"/>
        </w:rPr>
        <w:footnoteReference w:id="8"/>
      </w:r>
      <w:r>
        <w:t xml:space="preserve"> However, the exact reasoning for the popularity of certain items remains unclear. </w:t>
      </w:r>
      <w:r w:rsidR="00FD0865">
        <w:t xml:space="preserve">Our developers should carefully consider item changes or price increases, though, since “nerfing” items may alienate our player-base in the long term. </w:t>
      </w:r>
      <w:r>
        <w:t xml:space="preserve">More data regarding </w:t>
      </w:r>
      <w:r w:rsidR="00F7426F">
        <w:t xml:space="preserve">item specifications, popularity, availability, etc. is critical to the development to the sustainability of HOP. </w:t>
      </w:r>
    </w:p>
    <w:p w:rsidR="00F7426F" w:rsidRDefault="00F7426F" w:rsidP="00F7426F"/>
    <w:p w:rsidR="009F3AAC" w:rsidRDefault="00F7426F">
      <w:r>
        <w:t xml:space="preserve">In sum, sales numbers/demographics for HOP are promising for future revenue and sustainability. </w:t>
      </w:r>
      <w:r w:rsidR="00FD0865">
        <w:t xml:space="preserve">Developing a system for reviewing item prices/specifications may increase profitability for each item over time, given careful consideration. </w:t>
      </w:r>
      <w:r>
        <w:t xml:space="preserve">Critically, we need far more </w:t>
      </w:r>
      <w:r w:rsidR="00FD0865">
        <w:t>research into the nature and timing of purchases in order to construct a long-term plan for HOP.</w:t>
      </w:r>
    </w:p>
    <w:p w:rsidR="009F3AAC" w:rsidRDefault="009F3AAC">
      <w:r>
        <w:br w:type="page"/>
      </w:r>
    </w:p>
    <w:p w:rsidR="009F3AAC" w:rsidRDefault="00B37C5F" w:rsidP="00B37C5F">
      <w:pPr>
        <w:jc w:val="center"/>
        <w:rPr>
          <w:u w:val="single"/>
        </w:rPr>
      </w:pPr>
      <w:r>
        <w:rPr>
          <w:u w:val="single"/>
        </w:rPr>
        <w:lastRenderedPageBreak/>
        <w:t>Figures</w:t>
      </w:r>
    </w:p>
    <w:p w:rsidR="009F3AAC" w:rsidRDefault="009F3AAC">
      <w:pPr>
        <w:rPr>
          <w:u w:val="single"/>
        </w:rPr>
      </w:pPr>
    </w:p>
    <w:p w:rsidR="000055BC" w:rsidRDefault="009F3AAC" w:rsidP="000055BC">
      <w:pPr>
        <w:keepNext/>
      </w:pPr>
      <w:r>
        <w:rPr>
          <w:noProof/>
        </w:rPr>
        <w:drawing>
          <wp:inline distT="0" distB="0" distL="0" distR="0" wp14:anchorId="1F8FCD18" wp14:editId="6ABBC3B2">
            <wp:extent cx="1603449" cy="758518"/>
            <wp:effectExtent l="12700" t="12700" r="9525" b="165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otal Player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097" cy="7668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055BC" w:rsidRDefault="000055BC" w:rsidP="000055BC">
      <w:pPr>
        <w:pStyle w:val="Caption"/>
        <w:rPr>
          <w:u w:val="single"/>
        </w:rPr>
      </w:pPr>
      <w:r>
        <w:t xml:space="preserve">Figure </w:t>
      </w:r>
      <w:fldSimple w:instr=" SEQ Figure \* ARABIC ">
        <w:r w:rsidR="00F7426F">
          <w:rPr>
            <w:noProof/>
          </w:rPr>
          <w:t>1</w:t>
        </w:r>
      </w:fldSimple>
      <w:r w:rsidR="00862E10">
        <w:t>: Total Player Count</w:t>
      </w:r>
    </w:p>
    <w:p w:rsidR="000055BC" w:rsidRDefault="000055BC" w:rsidP="000055BC">
      <w:pPr>
        <w:keepNext/>
      </w:pPr>
      <w:r>
        <w:rPr>
          <w:noProof/>
        </w:rPr>
        <w:drawing>
          <wp:inline distT="0" distB="0" distL="0" distR="0" wp14:anchorId="7C5D5494" wp14:editId="2382AE39">
            <wp:extent cx="4476115" cy="550428"/>
            <wp:effectExtent l="12700" t="12700" r="698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ique Item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40" cy="571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AAC" w:rsidRDefault="000055BC" w:rsidP="000055BC">
      <w:pPr>
        <w:pStyle w:val="Caption"/>
        <w:rPr>
          <w:u w:val="single"/>
        </w:rPr>
      </w:pPr>
      <w:r>
        <w:t xml:space="preserve">Figure </w:t>
      </w:r>
      <w:fldSimple w:instr=" SEQ Figure \* ARABIC ">
        <w:r w:rsidR="00F7426F">
          <w:rPr>
            <w:noProof/>
          </w:rPr>
          <w:t>2</w:t>
        </w:r>
      </w:fldSimple>
      <w:r w:rsidR="00862E10">
        <w:t>: Total Item Sales</w:t>
      </w:r>
    </w:p>
    <w:p w:rsidR="000055BC" w:rsidRDefault="009F3AAC" w:rsidP="000055BC">
      <w:pPr>
        <w:keepNext/>
      </w:pPr>
      <w:r>
        <w:rPr>
          <w:noProof/>
        </w:rPr>
        <w:drawing>
          <wp:inline distT="0" distB="0" distL="0" distR="0" wp14:anchorId="67032BDA" wp14:editId="7FB64646">
            <wp:extent cx="3123905" cy="988759"/>
            <wp:effectExtent l="12700" t="12700" r="13335" b="146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der Count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3954" cy="10014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55BC" w:rsidRDefault="000055BC" w:rsidP="000055BC">
      <w:pPr>
        <w:pStyle w:val="Caption"/>
      </w:pPr>
      <w:r>
        <w:t xml:space="preserve">Figure </w:t>
      </w:r>
      <w:fldSimple w:instr=" SEQ Figure \* ARABIC ">
        <w:r w:rsidR="00F7426F">
          <w:rPr>
            <w:noProof/>
          </w:rPr>
          <w:t>3</w:t>
        </w:r>
      </w:fldSimple>
      <w:r w:rsidR="00862E10">
        <w:t>: Gender Player Count</w:t>
      </w:r>
    </w:p>
    <w:p w:rsidR="000055BC" w:rsidRDefault="009F3AAC" w:rsidP="000055BC">
      <w:pPr>
        <w:keepNext/>
      </w:pPr>
      <w:r>
        <w:rPr>
          <w:noProof/>
        </w:rPr>
        <w:drawing>
          <wp:inline distT="0" distB="0" distL="0" distR="0" wp14:anchorId="6BB5F436" wp14:editId="3E66A8CA">
            <wp:extent cx="5943600" cy="812165"/>
            <wp:effectExtent l="12700" t="12700" r="12700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der Purchas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407" w:rsidRDefault="008C4407" w:rsidP="000055BC">
      <w:pPr>
        <w:keepNext/>
      </w:pPr>
    </w:p>
    <w:p w:rsidR="000055BC" w:rsidRDefault="000055BC" w:rsidP="000055BC">
      <w:pPr>
        <w:pStyle w:val="Caption"/>
      </w:pPr>
      <w:r>
        <w:t xml:space="preserve">Figure </w:t>
      </w:r>
      <w:fldSimple w:instr=" SEQ Figure \* ARABIC ">
        <w:r w:rsidR="00F7426F">
          <w:rPr>
            <w:noProof/>
          </w:rPr>
          <w:t>4</w:t>
        </w:r>
      </w:fldSimple>
      <w:r w:rsidR="00862E10">
        <w:t>: Gender Item Sales</w:t>
      </w:r>
    </w:p>
    <w:p w:rsidR="008C4407" w:rsidRDefault="008C4407" w:rsidP="008C4407">
      <w:pPr>
        <w:keepNext/>
      </w:pPr>
      <w:r>
        <w:rPr>
          <w:noProof/>
        </w:rPr>
        <w:drawing>
          <wp:inline distT="0" distB="0" distL="0" distR="0" wp14:anchorId="49801533" wp14:editId="51BA1733">
            <wp:extent cx="3551274" cy="2861508"/>
            <wp:effectExtent l="12700" t="12700" r="1778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op Purchasers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765" cy="28780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C4407" w:rsidRPr="009F3AAC" w:rsidRDefault="008C4407" w:rsidP="008C4407">
      <w:pPr>
        <w:pStyle w:val="Caption"/>
      </w:pPr>
      <w:r>
        <w:t xml:space="preserve">Figure </w:t>
      </w:r>
      <w:r>
        <w:t>5: Top Spenders (Total Purchase Value)</w:t>
      </w:r>
    </w:p>
    <w:p w:rsidR="008C4407" w:rsidRDefault="008C4407" w:rsidP="008C4407"/>
    <w:p w:rsidR="008C4407" w:rsidRPr="008C4407" w:rsidRDefault="008C4407" w:rsidP="008C4407"/>
    <w:p w:rsidR="000055BC" w:rsidRDefault="009F3AAC" w:rsidP="000055BC">
      <w:pPr>
        <w:keepNext/>
      </w:pPr>
      <w:r>
        <w:rPr>
          <w:noProof/>
        </w:rPr>
        <w:drawing>
          <wp:inline distT="0" distB="0" distL="0" distR="0">
            <wp:extent cx="2371060" cy="2252157"/>
            <wp:effectExtent l="12700" t="12700" r="1714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e Count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654" cy="22565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AAC" w:rsidRDefault="000055BC" w:rsidP="000055BC">
      <w:pPr>
        <w:pStyle w:val="Caption"/>
      </w:pPr>
      <w:r>
        <w:t xml:space="preserve">Figure </w:t>
      </w:r>
      <w:r w:rsidR="008C4407">
        <w:t>6</w:t>
      </w:r>
      <w:r w:rsidR="00F7426F">
        <w:t>: Age Groups</w:t>
      </w:r>
    </w:p>
    <w:p w:rsidR="000055BC" w:rsidRDefault="009F3AAC" w:rsidP="000055BC">
      <w:pPr>
        <w:keepNext/>
      </w:pPr>
      <w:r>
        <w:rPr>
          <w:noProof/>
        </w:rPr>
        <w:drawing>
          <wp:inline distT="0" distB="0" distL="0" distR="0">
            <wp:extent cx="4531220" cy="2030819"/>
            <wp:effectExtent l="12700" t="12700" r="15875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ge Purchases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9612" cy="2034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3AAC" w:rsidRDefault="000055BC" w:rsidP="000055BC">
      <w:pPr>
        <w:pStyle w:val="Caption"/>
      </w:pPr>
      <w:r>
        <w:t xml:space="preserve">Figure </w:t>
      </w:r>
      <w:r w:rsidR="008C4407">
        <w:t>7</w:t>
      </w:r>
      <w:r w:rsidR="00F7426F">
        <w:t>: Age Group Sales</w:t>
      </w:r>
    </w:p>
    <w:p w:rsidR="000055BC" w:rsidRDefault="009F3AAC" w:rsidP="000055BC">
      <w:pPr>
        <w:keepNext/>
      </w:pPr>
      <w:r>
        <w:rPr>
          <w:noProof/>
        </w:rPr>
        <w:lastRenderedPageBreak/>
        <w:drawing>
          <wp:inline distT="0" distB="0" distL="0" distR="0">
            <wp:extent cx="3953244" cy="3100508"/>
            <wp:effectExtent l="12700" t="12700" r="9525" b="1143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tems by Purchase Count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375" cy="313433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55BC" w:rsidRDefault="000055BC" w:rsidP="000055BC">
      <w:pPr>
        <w:pStyle w:val="Caption"/>
      </w:pPr>
      <w:r>
        <w:t xml:space="preserve">Figure </w:t>
      </w:r>
      <w:r w:rsidR="008C4407">
        <w:t>8</w:t>
      </w:r>
      <w:r w:rsidR="00F7426F">
        <w:t>: Top Items (Total Purchase Count)</w:t>
      </w:r>
    </w:p>
    <w:p w:rsidR="00F7426F" w:rsidRDefault="009F3AAC" w:rsidP="00F7426F">
      <w:pPr>
        <w:pStyle w:val="Caption"/>
        <w:keepNext/>
      </w:pPr>
      <w:r>
        <w:rPr>
          <w:noProof/>
        </w:rPr>
        <w:drawing>
          <wp:inline distT="0" distB="0" distL="0" distR="0">
            <wp:extent cx="3952875" cy="3033495"/>
            <wp:effectExtent l="12700" t="12700" r="9525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tems by Revenue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775" cy="30510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055BC" w:rsidRDefault="00F7426F" w:rsidP="00F7426F">
      <w:pPr>
        <w:pStyle w:val="Caption"/>
      </w:pPr>
      <w:r>
        <w:t xml:space="preserve">Figure </w:t>
      </w:r>
      <w:r w:rsidRPr="00BB1B15">
        <w:t>9: Top Items (Total Purchase Value)</w:t>
      </w:r>
    </w:p>
    <w:sectPr w:rsidR="000055BC" w:rsidSect="00507D0C">
      <w:headerReference w:type="default" r:id="rId17"/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1F1E" w:rsidRDefault="00541F1E" w:rsidP="00B82E87">
      <w:r>
        <w:separator/>
      </w:r>
    </w:p>
  </w:endnote>
  <w:endnote w:type="continuationSeparator" w:id="0">
    <w:p w:rsidR="00541F1E" w:rsidRDefault="00541F1E" w:rsidP="00B8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54252845"/>
      <w:docPartObj>
        <w:docPartGallery w:val="Page Numbers (Bottom of Page)"/>
        <w:docPartUnique/>
      </w:docPartObj>
    </w:sdtPr>
    <w:sdtContent>
      <w:p w:rsidR="00984015" w:rsidRDefault="00984015" w:rsidP="00756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984015" w:rsidRDefault="00984015" w:rsidP="0098401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0520792"/>
      <w:docPartObj>
        <w:docPartGallery w:val="Page Numbers (Bottom of Page)"/>
        <w:docPartUnique/>
      </w:docPartObj>
    </w:sdtPr>
    <w:sdtContent>
      <w:p w:rsidR="00984015" w:rsidRDefault="00984015" w:rsidP="007564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984015" w:rsidRDefault="00984015" w:rsidP="0098401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1F1E" w:rsidRDefault="00541F1E" w:rsidP="00B82E87">
      <w:r>
        <w:separator/>
      </w:r>
    </w:p>
  </w:footnote>
  <w:footnote w:type="continuationSeparator" w:id="0">
    <w:p w:rsidR="00541F1E" w:rsidRDefault="00541F1E" w:rsidP="00B82E87">
      <w:r>
        <w:continuationSeparator/>
      </w:r>
    </w:p>
  </w:footnote>
  <w:footnote w:id="1">
    <w:p w:rsidR="000055BC" w:rsidRPr="000055BC" w:rsidRDefault="000055BC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i/>
          <w:iCs/>
        </w:rPr>
        <w:t>Figure 1</w:t>
      </w:r>
      <w:r w:rsidR="00862E10">
        <w:rPr>
          <w:i/>
          <w:iCs/>
        </w:rPr>
        <w:t>:</w:t>
      </w:r>
      <w:r>
        <w:rPr>
          <w:i/>
          <w:iCs/>
        </w:rPr>
        <w:t xml:space="preserve"> Total Player Count</w:t>
      </w:r>
      <w:r>
        <w:t>.</w:t>
      </w:r>
    </w:p>
  </w:footnote>
  <w:footnote w:id="2">
    <w:p w:rsidR="000055BC" w:rsidRPr="000055BC" w:rsidRDefault="000055BC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i/>
          <w:iCs/>
        </w:rPr>
        <w:t>Figure 2</w:t>
      </w:r>
      <w:r w:rsidR="00862E10">
        <w:rPr>
          <w:i/>
          <w:iCs/>
        </w:rPr>
        <w:t>:</w:t>
      </w:r>
      <w:r>
        <w:rPr>
          <w:i/>
          <w:iCs/>
        </w:rPr>
        <w:t xml:space="preserve"> Total Item Sales</w:t>
      </w:r>
      <w:r>
        <w:t>.</w:t>
      </w:r>
    </w:p>
  </w:footnote>
  <w:footnote w:id="3">
    <w:p w:rsidR="00984015" w:rsidRDefault="00984015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0055BC">
        <w:t>Numbers</w:t>
      </w:r>
      <w:r>
        <w:t xml:space="preserve"> courtesy of </w:t>
      </w:r>
      <w:hyperlink r:id="rId1" w:history="1">
        <w:r w:rsidRPr="0075644C">
          <w:rPr>
            <w:rStyle w:val="Hyperlink"/>
          </w:rPr>
          <w:t>https://store.steampowered.com/stats/</w:t>
        </w:r>
      </w:hyperlink>
      <w:r>
        <w:t xml:space="preserve"> (07/12/2019 c. 6:00p PST).</w:t>
      </w:r>
      <w:r w:rsidR="00C06DC3">
        <w:t xml:space="preserve"> Valve’s stats </w:t>
      </w:r>
      <w:r w:rsidR="000055BC">
        <w:t xml:space="preserve">regarding players over time </w:t>
      </w:r>
      <w:r w:rsidR="00C06DC3">
        <w:t>are notoriously vague, so please bear with me.</w:t>
      </w:r>
    </w:p>
  </w:footnote>
  <w:footnote w:id="4">
    <w:p w:rsidR="00862E10" w:rsidRPr="00862E10" w:rsidRDefault="00862E10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See </w:t>
      </w:r>
      <w:r w:rsidRPr="00862E10">
        <w:rPr>
          <w:i/>
          <w:iCs/>
        </w:rPr>
        <w:t>Figure 3</w:t>
      </w:r>
      <w:r>
        <w:t xml:space="preserve">: </w:t>
      </w:r>
      <w:r>
        <w:rPr>
          <w:i/>
          <w:iCs/>
        </w:rPr>
        <w:t>Gender Player Count.</w:t>
      </w:r>
    </w:p>
  </w:footnote>
  <w:footnote w:id="5">
    <w:p w:rsidR="00862E10" w:rsidRPr="00862E10" w:rsidRDefault="00862E10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See </w:t>
      </w:r>
      <w:r>
        <w:rPr>
          <w:i/>
          <w:iCs/>
        </w:rPr>
        <w:t>Figure 4: Gender Item Sales.</w:t>
      </w:r>
    </w:p>
  </w:footnote>
  <w:footnote w:id="6">
    <w:p w:rsidR="008C4407" w:rsidRPr="008C4407" w:rsidRDefault="008C4407">
      <w:pPr>
        <w:pStyle w:val="FootnoteText"/>
      </w:pPr>
      <w:r>
        <w:rPr>
          <w:rStyle w:val="FootnoteReference"/>
        </w:rPr>
        <w:footnoteRef/>
      </w:r>
      <w:r>
        <w:t xml:space="preserve"> See </w:t>
      </w:r>
      <w:r>
        <w:rPr>
          <w:i/>
          <w:iCs/>
        </w:rPr>
        <w:t>Figure 5: Top Spenders (Total Purchase Value)</w:t>
      </w:r>
      <w:r>
        <w:t>.</w:t>
      </w:r>
    </w:p>
  </w:footnote>
  <w:footnote w:id="7">
    <w:p w:rsidR="00F7426F" w:rsidRPr="00F7426F" w:rsidRDefault="00F7426F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See </w:t>
      </w:r>
      <w:r>
        <w:rPr>
          <w:i/>
          <w:iCs/>
        </w:rPr>
        <w:t xml:space="preserve">Figure 6: Age Groups </w:t>
      </w:r>
      <w:r>
        <w:t xml:space="preserve">and </w:t>
      </w:r>
      <w:r>
        <w:rPr>
          <w:i/>
          <w:iCs/>
        </w:rPr>
        <w:t>Figure 7: Age Group Sales.</w:t>
      </w:r>
    </w:p>
  </w:footnote>
  <w:footnote w:id="8">
    <w:p w:rsidR="00F7426F" w:rsidRPr="00F7426F" w:rsidRDefault="00F7426F">
      <w:pPr>
        <w:pStyle w:val="FootnoteText"/>
        <w:rPr>
          <w:i/>
          <w:iCs/>
        </w:rPr>
      </w:pPr>
      <w:r>
        <w:rPr>
          <w:rStyle w:val="FootnoteReference"/>
        </w:rPr>
        <w:footnoteRef/>
      </w:r>
      <w:r>
        <w:t xml:space="preserve"> See </w:t>
      </w:r>
      <w:r>
        <w:rPr>
          <w:i/>
          <w:iCs/>
        </w:rPr>
        <w:t>Figure 8: Top Items (Total Purchase Count)</w:t>
      </w:r>
      <w:r w:rsidR="00C80ABE">
        <w:rPr>
          <w:i/>
          <w:iCs/>
        </w:rPr>
        <w:t xml:space="preserve"> </w:t>
      </w:r>
      <w:r w:rsidR="00C80ABE">
        <w:t xml:space="preserve">and </w:t>
      </w:r>
      <w:r w:rsidR="00C80ABE">
        <w:rPr>
          <w:i/>
          <w:iCs/>
        </w:rPr>
        <w:t>Figure 9: Top Items (Total Purchase Value)</w:t>
      </w:r>
      <w:r>
        <w:rPr>
          <w:i/>
          <w:iCs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2E87" w:rsidRDefault="00B82E87">
    <w:pPr>
      <w:pStyle w:val="Header"/>
    </w:pPr>
    <w:r>
      <w:t>Andrew Morrison</w:t>
    </w:r>
  </w:p>
  <w:p w:rsidR="00B82E87" w:rsidRDefault="00B82E87">
    <w:pPr>
      <w:pStyle w:val="Header"/>
    </w:pPr>
    <w:r>
      <w:t>Unit 04: Pandas</w:t>
    </w:r>
  </w:p>
  <w:p w:rsidR="00B82E87" w:rsidRDefault="00B82E87">
    <w:pPr>
      <w:pStyle w:val="Header"/>
    </w:pPr>
    <w:r>
      <w:t>07/12/19</w:t>
    </w:r>
  </w:p>
  <w:p w:rsidR="00B82E87" w:rsidRDefault="00B82E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EE57D2"/>
    <w:multiLevelType w:val="hybridMultilevel"/>
    <w:tmpl w:val="C998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0A1"/>
    <w:rsid w:val="000055BC"/>
    <w:rsid w:val="001900A1"/>
    <w:rsid w:val="00507D0C"/>
    <w:rsid w:val="00541F1E"/>
    <w:rsid w:val="00862E10"/>
    <w:rsid w:val="008C4407"/>
    <w:rsid w:val="00984015"/>
    <w:rsid w:val="009F3AAC"/>
    <w:rsid w:val="00A44BFF"/>
    <w:rsid w:val="00AD1EF0"/>
    <w:rsid w:val="00B37C5F"/>
    <w:rsid w:val="00B82E87"/>
    <w:rsid w:val="00C06DC3"/>
    <w:rsid w:val="00C80ABE"/>
    <w:rsid w:val="00F7426F"/>
    <w:rsid w:val="00FD0865"/>
    <w:rsid w:val="00FE5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A2E4D"/>
  <w15:chartTrackingRefBased/>
  <w15:docId w15:val="{B1756E5C-4C29-1F4F-9D62-0103B19A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0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82E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2E87"/>
  </w:style>
  <w:style w:type="paragraph" w:styleId="Footer">
    <w:name w:val="footer"/>
    <w:basedOn w:val="Normal"/>
    <w:link w:val="FooterChar"/>
    <w:uiPriority w:val="99"/>
    <w:unhideWhenUsed/>
    <w:rsid w:val="00B82E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82E87"/>
  </w:style>
  <w:style w:type="character" w:styleId="PageNumber">
    <w:name w:val="page number"/>
    <w:basedOn w:val="DefaultParagraphFont"/>
    <w:uiPriority w:val="99"/>
    <w:semiHidden/>
    <w:unhideWhenUsed/>
    <w:rsid w:val="00984015"/>
  </w:style>
  <w:style w:type="paragraph" w:styleId="FootnoteText">
    <w:name w:val="footnote text"/>
    <w:basedOn w:val="Normal"/>
    <w:link w:val="FootnoteTextChar"/>
    <w:uiPriority w:val="99"/>
    <w:semiHidden/>
    <w:unhideWhenUsed/>
    <w:rsid w:val="009840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4015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401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84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015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0055B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tore.steampowered.com/sta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AFD9E1A-814B-CF41-A55A-7539FDA95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568</Words>
  <Characters>3244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J Morrison</dc:creator>
  <cp:keywords/>
  <dc:description/>
  <cp:lastModifiedBy>Andrew J Morrison</cp:lastModifiedBy>
  <cp:revision>3</cp:revision>
  <dcterms:created xsi:type="dcterms:W3CDTF">2019-07-13T00:28:00Z</dcterms:created>
  <dcterms:modified xsi:type="dcterms:W3CDTF">2019-07-13T02:32:00Z</dcterms:modified>
</cp:coreProperties>
</file>