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bookmarkStart w:id="21" w:name="basic-descriptives-reports-on-selected-nlsy97-items"/>
    <w:p>
      <w:pPr>
        <w:pStyle w:val="Heading1"/>
      </w:pPr>
      <w:r>
        <w:t xml:space="preserve">Basic descriptives reports on selected NLSY97 items</w:t>
      </w:r>
    </w:p>
    <w:bookmarkEnd w:id="21"/>
    <w:bookmarkStart w:id="22" w:name="basic-demographics"/>
    <w:p>
      <w:pPr>
        <w:pStyle w:val="Heading2"/>
      </w:pPr>
      <w:r>
        <w:t xml:space="preserve">Basic demographics</w:t>
      </w:r>
    </w:p>
    <w:bookmarkEnd w:id="22"/>
    <w:p>
      <w:r>
        <w:t xml:space="preserve">After importing a clean dataset</w:t>
      </w:r>
      <w:r>
        <w:t xml:space="preserve"> </w:t>
      </w:r>
      <w:r>
        <w:rPr>
          <w:b/>
        </w:rPr>
        <w:t xml:space="preserve">dsL</w:t>
      </w:r>
    </w:p>
    <w:p>
      <w:pPr>
        <w:pStyle w:val="SourceCode"/>
      </w:pPr>
      <w:r>
        <w:rPr>
          <w:rStyle w:val="NormalTok"/>
        </w:rPr>
        <w:t xml:space="preserve">dsL&lt;-</w:t>
      </w:r>
      <w:r>
        <w:rPr>
          <w:rStyle w:val="KeywordTok"/>
        </w:rPr>
        <w:t xml:space="preserve">readRDS</w:t>
      </w:r>
      <w:r>
        <w:rPr>
          <w:rStyle w:val="NormalTok"/>
        </w:rPr>
        <w:t xml:space="preserve">(</w:t>
      </w:r>
      <w:r>
        <w:rPr>
          <w:rStyle w:val="StringTok"/>
        </w:rPr>
        <w:t xml:space="preserve">"./Data/Derived/dsL.rds"</w:t>
      </w:r>
      <w:r>
        <w:rPr>
          <w:rStyle w:val="NormalTok"/>
        </w:rPr>
        <w:t xml:space="preserve">)</w:t>
      </w:r>
      <w:r>
        <w:br w:type="textWrapping"/>
      </w:r>
      <w:r>
        <w:rPr>
          <w:rStyle w:val="NormalTok"/>
        </w:rPr>
        <w:t xml:space="preserve">dplyr::</w:t>
      </w:r>
      <w:r>
        <w:rPr>
          <w:rStyle w:val="KeywordTok"/>
        </w:rPr>
        <w:t xml:space="preserve">summarize</w:t>
      </w:r>
      <w:r>
        <w:rPr>
          <w:rStyle w:val="NormalTok"/>
        </w:rPr>
        <w:t xml:space="preserve">(dsL,</w:t>
      </w:r>
      <w:r>
        <w:rPr>
          <w:rStyle w:val="DataTypeTok"/>
        </w:rPr>
        <w:t xml:space="preserve">N=</w:t>
      </w:r>
      <w:r>
        <w:rPr>
          <w:rStyle w:val="KeywordTok"/>
        </w:rPr>
        <w:t xml:space="preserve">n_distinct</w:t>
      </w:r>
      <w:r>
        <w:rPr>
          <w:rStyle w:val="NormalTok"/>
        </w:rPr>
        <w:t xml:space="preserve">(id))</w:t>
      </w:r>
    </w:p>
    <w:p>
      <w:pPr>
        <w:pStyle w:val="SourceCode"/>
      </w:pPr>
      <w:r>
        <w:rPr>
          <w:rStyle w:val="VerbatimChar"/>
        </w:rPr>
        <w:t xml:space="preserve">     N</w:t>
      </w:r>
      <w:r>
        <w:br w:type="textWrapping"/>
      </w:r>
      <w:r>
        <w:rPr>
          <w:rStyle w:val="VerbatimChar"/>
        </w:rPr>
        <w:t xml:space="preserve">1 8983</w:t>
      </w:r>
    </w:p>
    <w:p>
      <w:r>
        <w:t xml:space="preserve">respondents. Of them one (id=467) was removed from the dataset due to abberant age score that seemed as a coding mistake. NLSY97 contains representative household sample and the oversample of racial minorities.</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group_by</w:t>
      </w:r>
      <w:r>
        <w:rPr>
          <w:rStyle w:val="NormalTok"/>
        </w:rPr>
        <w:t xml:space="preserve">(sampleF) %&gt;%</w:t>
      </w:r>
      <w:r>
        <w:rPr>
          <w:rStyle w:val="StringTok"/>
        </w:rPr>
        <w:t xml:space="preserve"> </w:t>
      </w:r>
      <w:r>
        <w:rPr>
          <w:rStyle w:val="KeywordTok"/>
        </w:rPr>
        <w:t xml:space="preserve">summarize</w:t>
      </w:r>
      <w:r>
        <w:rPr>
          <w:rStyle w:val="NormalTok"/>
        </w:rPr>
        <w:t xml:space="preserve"> </w:t>
      </w:r>
      <w:r>
        <w:rPr>
          <w:rStyle w:val="NormalTok"/>
        </w:rPr>
        <w:t xml:space="preserve">(</w:t>
      </w:r>
      <w:r>
        <w:rPr>
          <w:rStyle w:val="DataTypeTok"/>
        </w:rPr>
        <w:t xml:space="preserve">count=</w:t>
      </w:r>
      <w:r>
        <w:rPr>
          <w:rStyle w:val="KeywordTok"/>
        </w:rPr>
        <w:t xml:space="preserve">n_distinct</w:t>
      </w:r>
      <w:r>
        <w:rPr>
          <w:rStyle w:val="NormalTok"/>
        </w:rPr>
        <w:t xml:space="preserve">(id))</w:t>
      </w:r>
      <w:r>
        <w:br w:type="textWrapping"/>
      </w:r>
      <w:r>
        <w:rPr>
          <w:rStyle w:val="NormalTok"/>
        </w:rPr>
        <w:t xml:space="preserve">ds</w:t>
      </w:r>
    </w:p>
    <w:p>
      <w:pPr>
        <w:pStyle w:val="SourceCode"/>
      </w:pPr>
      <w:r>
        <w:rPr>
          <w:rStyle w:val="VerbatimChar"/>
        </w:rPr>
        <w:t xml:space="preserve">  count</w:t>
      </w:r>
      <w:r>
        <w:br w:type="textWrapping"/>
      </w:r>
      <w:r>
        <w:rPr>
          <w:rStyle w:val="VerbatimChar"/>
        </w:rPr>
        <w:t xml:space="preserve">1  8983</w:t>
      </w:r>
    </w:p>
    <w:p>
      <w:pPr>
        <w:pStyle w:val="SourceCode"/>
      </w:pPr>
      <w:r>
        <w:rPr>
          <w:rStyle w:val="VerbatimChar"/>
        </w:rPr>
        <w:t xml:space="preserve">ymax not defined: adjusting position using y instead</w:t>
      </w:r>
      <w:r>
        <w:br w:type="textWrapping"/>
      </w:r>
      <w:r>
        <w:rPr>
          <w:rStyle w:val="VerbatimChar"/>
        </w:rPr>
        <w:t xml:space="preserve">ymax not defined: adjusting position using y instead</w:t>
      </w:r>
    </w:p>
    <w:p>
      <w:r>
        <w:drawing>
          <wp:inline>
            <wp:extent cx="5956300" cy="3657600"/>
            <wp:effectExtent b="0" l="0" r="0" t="0"/>
            <wp:docPr descr="" id="1" name="Picture"/>
            <a:graphic>
              <a:graphicData uri="http://schemas.openxmlformats.org/drawingml/2006/picture">
                <pic:pic>
                  <pic:nvPicPr>
                    <pic:cNvPr descr="figure_rmd/Descriptives/basic_demo.png" id="0" name="Picture"/>
                    <pic:cNvPicPr>
                      <a:picLocks noChangeArrowheads="1" noChangeAspect="1"/>
                    </pic:cNvPicPr>
                  </pic:nvPicPr>
                  <pic:blipFill>
                    <a:blip r:embed="rId23"/>
                    <a:stretch>
                      <a:fillRect/>
                    </a:stretch>
                  </pic:blipFill>
                  <pic:spPr bwMode="auto">
                    <a:xfrm>
                      <a:off x="0" y="0"/>
                      <a:ext cx="5956300" cy="3657600"/>
                    </a:xfrm>
                    <a:prstGeom prst="rect">
                      <a:avLst/>
                    </a:prstGeom>
                    <a:noFill/>
                    <a:ln w="9525">
                      <a:noFill/>
                      <a:headEnd/>
                      <a:tailEnd/>
                    </a:ln>
                  </pic:spPr>
                </pic:pic>
              </a:graphicData>
            </a:graphic>
          </wp:inline>
        </w:drawing>
      </w:r>
    </w:p>
    <w:bookmarkStart w:id="24" w:name="distribution-of-age-variables"/>
    <w:p>
      <w:pPr>
        <w:pStyle w:val="Heading2"/>
      </w:pPr>
      <w:r>
        <w:t xml:space="preserve">Distribution of age variables</w:t>
      </w:r>
    </w:p>
    <w:bookmarkEnd w:id="24"/>
    <w:p>
      <w:r>
        <w:t xml:space="preserve">The age of respondents was of particular interest and was entered as a predictor of the model outcome. NSLY97 contains static and dynamic indicators of age age. Variables byear and bmonth were recorded once in 1997 (static) and contain respondentsâ€™ birth year and birth month respectively. Two age variables were recorded continuously at each interview (dynamic): age at the time of the interview in months agemon and in years ageyear. Next graph shows how births in the NLSY97 sample (static age) was distributed over calendric months from 1980 to 1984:</w:t>
      </w:r>
    </w:p>
    <w:bookmarkStart w:id="25" w:name="months-of-births"/>
    <w:p>
      <w:pPr>
        <w:pStyle w:val="Heading3"/>
      </w:pPr>
      <w:r>
        <w:t xml:space="preserve">Months of births</w:t>
      </w:r>
    </w:p>
    <w:bookmarkEnd w:id="25"/>
    <w:p>
      <w:pPr>
        <w:pStyle w:val="SourceCode"/>
      </w:pPr>
      <w:r>
        <w:rPr>
          <w:rStyle w:val="VerbatimChar"/>
        </w:rPr>
        <w:t xml:space="preserve">Source: local data frame [13 x 4]</w:t>
      </w:r>
      <w:r>
        <w:br w:type="textWrapping"/>
      </w:r>
      <w:r>
        <w:rPr>
          <w:rStyle w:val="VerbatimChar"/>
        </w:rPr>
        <w:t xml:space="preserve">Groups: bmonth</w:t>
      </w:r>
      <w:r>
        <w:br w:type="textWrapping"/>
      </w:r>
      <w:r>
        <w:rPr>
          <w:rStyle w:val="VerbatimChar"/>
        </w:rPr>
        <w:t xml:space="preserve"/>
      </w:r>
      <w:r>
        <w:br w:type="textWrapping"/>
      </w:r>
      <w:r>
        <w:rPr>
          <w:rStyle w:val="VerbatimChar"/>
        </w:rPr>
        <w:t xml:space="preserve">   bmonth byearF count  born</w:t>
      </w:r>
      <w:r>
        <w:br w:type="textWrapping"/>
      </w:r>
      <w:r>
        <w:rPr>
          <w:rStyle w:val="VerbatimChar"/>
        </w:rPr>
        <w:t xml:space="preserve">1       1   1980   159  80-1</w:t>
      </w:r>
      <w:r>
        <w:br w:type="textWrapping"/>
      </w:r>
      <w:r>
        <w:rPr>
          <w:rStyle w:val="VerbatimChar"/>
        </w:rPr>
        <w:t xml:space="preserve">2       2   1980   136  80-2</w:t>
      </w:r>
      <w:r>
        <w:br w:type="textWrapping"/>
      </w:r>
      <w:r>
        <w:rPr>
          <w:rStyle w:val="VerbatimChar"/>
        </w:rPr>
        <w:t xml:space="preserve">3       3   1980   139  80-3</w:t>
      </w:r>
      <w:r>
        <w:br w:type="textWrapping"/>
      </w:r>
      <w:r>
        <w:rPr>
          <w:rStyle w:val="VerbatimChar"/>
        </w:rPr>
        <w:t xml:space="preserve">4       4   1980   125  80-4</w:t>
      </w:r>
      <w:r>
        <w:br w:type="textWrapping"/>
      </w:r>
      <w:r>
        <w:rPr>
          <w:rStyle w:val="VerbatimChar"/>
        </w:rPr>
        <w:t xml:space="preserve">5       5   1980   128  80-5</w:t>
      </w:r>
      <w:r>
        <w:br w:type="textWrapping"/>
      </w:r>
      <w:r>
        <w:rPr>
          <w:rStyle w:val="VerbatimChar"/>
        </w:rPr>
        <w:t xml:space="preserve">6       6   1980   137  80-6</w:t>
      </w:r>
      <w:r>
        <w:br w:type="textWrapping"/>
      </w:r>
      <w:r>
        <w:rPr>
          <w:rStyle w:val="VerbatimChar"/>
        </w:rPr>
        <w:t xml:space="preserve">7       7   1980   136  80-7</w:t>
      </w:r>
      <w:r>
        <w:br w:type="textWrapping"/>
      </w:r>
      <w:r>
        <w:rPr>
          <w:rStyle w:val="VerbatimChar"/>
        </w:rPr>
        <w:t xml:space="preserve">8       8   1980   141  80-8</w:t>
      </w:r>
      <w:r>
        <w:br w:type="textWrapping"/>
      </w:r>
      <w:r>
        <w:rPr>
          <w:rStyle w:val="VerbatimChar"/>
        </w:rPr>
        <w:t xml:space="preserve">9       9   1980   144  80-9</w:t>
      </w:r>
      <w:r>
        <w:br w:type="textWrapping"/>
      </w:r>
      <w:r>
        <w:rPr>
          <w:rStyle w:val="VerbatimChar"/>
        </w:rPr>
        <w:t xml:space="preserve">10     10   1980   146 80-10</w:t>
      </w:r>
      <w:r>
        <w:br w:type="textWrapping"/>
      </w:r>
      <w:r>
        <w:rPr>
          <w:rStyle w:val="VerbatimChar"/>
        </w:rPr>
        <w:t xml:space="preserve">11     11   1980   146 80-11</w:t>
      </w:r>
      <w:r>
        <w:br w:type="textWrapping"/>
      </w:r>
      <w:r>
        <w:rPr>
          <w:rStyle w:val="VerbatimChar"/>
        </w:rPr>
        <w:t xml:space="preserve">12     12   1980   154 80-12</w:t>
      </w:r>
      <w:r>
        <w:br w:type="textWrapping"/>
      </w:r>
      <w:r>
        <w:rPr>
          <w:rStyle w:val="VerbatimChar"/>
        </w:rPr>
        <w:t xml:space="preserve">13      1   1981   160  81-1</w:t>
      </w:r>
    </w:p>
    <w:p>
      <w:r>
        <w:drawing>
          <wp:inline>
            <wp:extent cx="5956300" cy="3022600"/>
            <wp:effectExtent b="0" l="0" r="0" t="0"/>
            <wp:docPr descr="" id="1" name="Picture"/>
            <a:graphic>
              <a:graphicData uri="http://schemas.openxmlformats.org/drawingml/2006/picture">
                <pic:pic>
                  <pic:nvPicPr>
                    <pic:cNvPr descr="figure_rmd/Descriptives/bmonth_dist.png" id="0" name="Picture"/>
                    <pic:cNvPicPr>
                      <a:picLocks noChangeArrowheads="1" noChangeAspect="1"/>
                    </pic:cNvPicPr>
                  </pic:nvPicPr>
                  <pic:blipFill>
                    <a:blip r:embed="rId26"/>
                    <a:stretch>
                      <a:fillRect/>
                    </a:stretch>
                  </pic:blipFill>
                  <pic:spPr bwMode="auto">
                    <a:xfrm>
                      <a:off x="0" y="0"/>
                      <a:ext cx="5956300" cy="3022600"/>
                    </a:xfrm>
                    <a:prstGeom prst="rect">
                      <a:avLst/>
                    </a:prstGeom>
                    <a:noFill/>
                    <a:ln w="9525">
                      <a:noFill/>
                      <a:headEnd/>
                      <a:tailEnd/>
                    </a:ln>
                  </pic:spPr>
                </pic:pic>
              </a:graphicData>
            </a:graphic>
          </wp:inline>
        </w:drawing>
      </w:r>
    </w:p>
    <w:bookmarkStart w:id="27" w:name="age-and-cohort-structure"/>
    <w:p>
      <w:pPr>
        <w:pStyle w:val="Heading3"/>
      </w:pPr>
      <w:r>
        <w:t xml:space="preserve">Age and cohort structure</w:t>
      </w:r>
    </w:p>
    <w:bookmarkEnd w:id="27"/>
    <w:p>
      <w:r>
        <w:drawing>
          <wp:inline>
            <wp:extent cx="5956300" cy="3022600"/>
            <wp:effectExtent b="0" l="0" r="0" t="0"/>
            <wp:docPr descr="" id="1" name="Picture"/>
            <a:graphic>
              <a:graphicData uri="http://schemas.openxmlformats.org/drawingml/2006/picture">
                <pic:pic>
                  <pic:nvPicPr>
                    <pic:cNvPr descr="figure_rmd/Descriptives/agemon_dist.png" id="0" name="Picture"/>
                    <pic:cNvPicPr>
                      <a:picLocks noChangeArrowheads="1" noChangeAspect="1"/>
                    </pic:cNvPicPr>
                  </pic:nvPicPr>
                  <pic:blipFill>
                    <a:blip r:embed="rId28"/>
                    <a:stretch>
                      <a:fillRect/>
                    </a:stretch>
                  </pic:blipFill>
                  <pic:spPr bwMode="auto">
                    <a:xfrm>
                      <a:off x="0" y="0"/>
                      <a:ext cx="5956300" cy="3022600"/>
                    </a:xfrm>
                    <a:prstGeom prst="rect">
                      <a:avLst/>
                    </a:prstGeom>
                    <a:noFill/>
                    <a:ln w="9525">
                      <a:noFill/>
                      <a:headEnd/>
                      <a:tailEnd/>
                    </a:ln>
                  </pic:spPr>
                </pic:pic>
              </a:graphicData>
            </a:graphic>
          </wp:inline>
        </w:drawing>
      </w:r>
    </w:p>
    <w:p>
      <w:r>
        <w:t xml:space="preserve">=== Read more in</w:t>
      </w:r>
      <w:r>
        <w:t xml:space="preserve"> </w:t>
      </w:r>
      <w:r>
        <w:t xml:space="preserve">./Models/Descriptives</w:t>
      </w:r>
      <w:r>
        <w:t xml:space="preserve">:</w:t>
      </w:r>
      <w:r>
        <w:br w:type="textWrapping"/>
      </w:r>
      <w:r>
        <w:t xml:space="preserve">+</w:t>
      </w:r>
      <w:r>
        <w:t xml:space="preserve"> </w:t>
      </w:r>
      <w:hyperlink r:id="rId29">
        <w:r>
          <w:rPr>
            <w:rStyle w:val="Link"/>
          </w:rPr>
          <w:t xml:space="preserve">Metrics</w:t>
        </w:r>
      </w:hyperlink>
      <w:r>
        <w:t xml:space="preserve"> </w:t>
      </w:r>
      <w:r>
        <w:t xml:space="preserve">- how values of items are labeled +</w:t>
      </w:r>
      <w:r>
        <w:t xml:space="preserve"> </w:t>
      </w:r>
      <w:hyperlink r:id="rId30">
        <w:r>
          <w:rPr>
            <w:rStyle w:val="Link"/>
          </w:rPr>
          <w:t xml:space="preserve">Descriptives</w:t>
        </w:r>
      </w:hyperlink>
      <w:r>
        <w:t xml:space="preserve"> </w:t>
      </w:r>
      <w:r>
        <w:t xml:space="preserve">- basic stats of various items</w:t>
      </w:r>
      <w:r>
        <w:br w:type="textWrapping"/>
      </w:r>
      <w:r>
        <w:t xml:space="preserve">+</w:t>
      </w:r>
      <w:r>
        <w:t xml:space="preserve"> </w:t>
      </w:r>
      <w:hyperlink r:id="rId31">
        <w:r>
          <w:rPr>
            <w:rStyle w:val="Link"/>
          </w:rPr>
          <w:t xml:space="preserve">Attendance</w:t>
        </w:r>
      </w:hyperlink>
      <w:r>
        <w:t xml:space="preserve"> </w:t>
      </w:r>
      <w:r>
        <w:t xml:space="preserve">- focus on church attendence over time</w:t>
      </w:r>
      <w:r>
        <w:br w:type="textWrapping"/>
      </w:r>
      <w:r>
        <w:t xml:space="preserve">+</w:t>
      </w:r>
      <w:r>
        <w:t xml:space="preserve"> </w:t>
      </w:r>
      <w:hyperlink r:id="rId32">
        <w:r>
          <w:rPr>
            <w:rStyle w:val="Link"/>
          </w:rPr>
          <w:t xml:space="preserve">Databox</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ac3c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1" Target="attend" TargetMode="External" /><Relationship Type="http://schemas.openxmlformats.org/officeDocument/2006/relationships/hyperlink" Id="rId32" Target="https://github.com/andkov/Longitudinal_Models_of_Religiosity_NLSY97/blob/master/Models/Descriptives/Databox.md" TargetMode="External" /><Relationship Type="http://schemas.openxmlformats.org/officeDocument/2006/relationships/hyperlink" Id="rId30" Target="https://github.com/andkov/Longitudinal_Models_of_Religiosity_NLSY97/blob/master/Models/Descriptives/Descriptives.md" TargetMode="External" /><Relationship Type="http://schemas.openxmlformats.org/officeDocument/2006/relationships/hyperlink" Id="rId29" Target="https://github.com/andkov/Longitudinal_Models_of_Religiosity_NLSY97/blob/master/Models/Descriptives/Metrics.md" TargetMode="External" /></Relationships>
</file>

<file path=word/_rels/footnotes.xml.rels><?xml version="1.0" encoding="UTF-8"?>
<Relationships xmlns="http://schemas.openxmlformats.org/package/2006/relationships"><Relationship Type="http://schemas.openxmlformats.org/officeDocument/2006/relationships/hyperlink" Id="rId31" Target="attend" TargetMode="External" /><Relationship Type="http://schemas.openxmlformats.org/officeDocument/2006/relationships/hyperlink" Id="rId32" Target="https://github.com/andkov/Longitudinal_Models_of_Religiosity_NLSY97/blob/master/Models/Descriptives/Databox.md" TargetMode="External" /><Relationship Type="http://schemas.openxmlformats.org/officeDocument/2006/relationships/hyperlink" Id="rId30" Target="https://github.com/andkov/Longitudinal_Models_of_Religiosity_NLSY97/blob/master/Models/Descriptives/Descriptives.md" TargetMode="External" /><Relationship Type="http://schemas.openxmlformats.org/officeDocument/2006/relationships/hyperlink" Id="rId29" Target="https://github.com/andkov/Longitudinal_Models_of_Religiosity_NLSY97/blob/master/Models/Descriptives/Metric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Andriy Koval</dc:creator>
</cp:coreProperties>
</file>