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ff22901dc254346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522c042e31b547f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color w:val="FF6A00"/>
          <w:spacing w:val="30"/>
          <w:sz w:val="24"/>
        </w:rPr>
        <w:t>ТЕХНИЧЕСКОЕ ЗАДАНИЕ</w:t>
      </w:r>
    </w:p>
    <w:p>
      <w:pPr>
        <w:spacing w:after="300"/>
        <w:ind w:left="1200" w:right="1200"/>
      </w:pPr>
      <w:r>
        <w:rPr>
          <w:rFonts w:ascii="Calibri" w:hAnsi="Calibri" w:eastAsia="Microsoft YaHei"/>
          <w:b/>
          <w:color w:val="EAECEF"/>
          <w:spacing w:val="40"/>
          <w:sz w:val="72"/>
        </w:rPr>
        <w:t>Sourcing Pipeline</w:t>
      </w:r>
    </w:p>
    <w:p>
      <w:pPr>
        <w:spacing w:after="3500"/>
        <w:ind w:left="1200" w:right="1200"/>
      </w:pPr>
      <w:r>
        <w:rPr>
          <w:rFonts w:ascii="Calibri" w:hAnsi="Calibri" w:eastAsia="Microsoft YaHei"/>
          <w:color w:val="EAECEF"/>
          <w:spacing w:val="20"/>
          <w:sz w:val="26"/>
        </w:rPr>
        <w:t>Внутренняя CRM-система для управления закупками</w:t>
      </w:r>
    </w:p>
    <w:p>
      <w:pPr>
        <w:ind w:left="1200"/>
      </w:pPr>
      <w:r>
        <w:rPr>
          <w:rFonts w:ascii="Calibri" w:hAnsi="Calibri" w:eastAsia="Microsoft YaHei"/>
          <w:color w:val="4B5563"/>
          <w:sz w:val="20"/>
        </w:rPr>
        <w:t>Студия продуктового дизайна  |  FinTech / SaaS  | 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Содержание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6B7280"/>
          <w:sz w:val="18"/>
        </w:rPr>
        <w:t>Кликните правой кнопкой и выберите "Обновить поле" для обновления номеров страниц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Общие сведения</w:t>
      </w:r>
      <w:r>
        <w:tab/>
      </w:r>
      <w:r>
        <w:t>3</w:t>
      </w:r>
    </w:p>
    <w:p>
      <w:pPr>
        <w:pStyle w:val="TOC1"/>
      </w:pPr>
      <w:r>
        <w:t>2. Назначение и цели</w:t>
      </w:r>
      <w:r>
        <w:tab/>
      </w:r>
      <w:r>
        <w:t>4</w:t>
      </w:r>
    </w:p>
    <w:p>
      <w:pPr>
        <w:pStyle w:val="TOC1"/>
      </w:pPr>
      <w:r>
        <w:t>3. Требования к дизайн-системе</w:t>
      </w:r>
      <w:r>
        <w:tab/>
      </w:r>
      <w:r>
        <w:t>5</w:t>
      </w:r>
    </w:p>
    <w:p>
      <w:pPr>
        <w:pStyle w:val="TOC1"/>
      </w:pPr>
      <w:r>
        <w:t>4. Требования к Layout</w:t>
      </w:r>
      <w:r>
        <w:tab/>
      </w:r>
      <w:r>
        <w:t>6</w:t>
      </w:r>
    </w:p>
    <w:p>
      <w:pPr>
        <w:pStyle w:val="TOC1"/>
      </w:pPr>
      <w:r>
        <w:t>5. Функциональные требования</w:t>
      </w:r>
      <w:r>
        <w:tab/>
      </w:r>
      <w:r>
        <w:t>7</w:t>
      </w:r>
    </w:p>
    <w:p>
      <w:pPr>
        <w:pStyle w:val="TOC2"/>
      </w:pPr>
      <w:r>
        <w:t>5.1 Экран Pipeline (Kanban)</w:t>
      </w:r>
      <w:r>
        <w:tab/>
      </w:r>
      <w:r>
        <w:t>7</w:t>
      </w:r>
    </w:p>
    <w:p>
      <w:pPr>
        <w:pStyle w:val="TOC2"/>
      </w:pPr>
      <w:r>
        <w:t>5.2 Карточка заявки</w:t>
      </w:r>
      <w:r>
        <w:tab/>
      </w:r>
      <w:r>
        <w:t>8</w:t>
      </w:r>
    </w:p>
    <w:p>
      <w:pPr>
        <w:pStyle w:val="TOC2"/>
      </w:pPr>
      <w:r>
        <w:t>5.3 Экран Поставщики</w:t>
      </w:r>
      <w:r>
        <w:tab/>
      </w:r>
      <w:r>
        <w:t>9</w:t>
      </w:r>
    </w:p>
    <w:p>
      <w:pPr>
        <w:pStyle w:val="TOC2"/>
      </w:pPr>
      <w:r>
        <w:t>5.4 Экран Аналитика</w:t>
      </w:r>
      <w:r>
        <w:tab/>
      </w:r>
      <w:r>
        <w:t>10</w:t>
      </w:r>
    </w:p>
    <w:p>
      <w:pPr>
        <w:pStyle w:val="TOC2"/>
      </w:pPr>
      <w:r>
        <w:t>5.5 Экран Уведомления</w:t>
      </w:r>
      <w:r>
        <w:tab/>
      </w:r>
      <w:r>
        <w:t>10</w:t>
      </w:r>
    </w:p>
    <w:p>
      <w:pPr>
        <w:pStyle w:val="TOC1"/>
      </w:pPr>
      <w:r>
        <w:t>6. Требования к интерактивности</w:t>
      </w:r>
      <w:r>
        <w:tab/>
      </w:r>
      <w:r>
        <w:t>11</w:t>
      </w:r>
    </w:p>
    <w:p>
      <w:pPr>
        <w:pStyle w:val="TOC1"/>
      </w:pPr>
      <w:r>
        <w:t>7. Моковые данные и заглушки</w:t>
      </w:r>
      <w:r>
        <w:tab/>
      </w:r>
      <w:r>
        <w:t>12</w:t>
      </w:r>
    </w:p>
    <w:p>
      <w:pPr>
        <w:pStyle w:val="TOC1"/>
      </w:pPr>
      <w:r>
        <w:t>8. Нефункциональные требования</w:t>
      </w:r>
      <w:r>
        <w:tab/>
      </w:r>
      <w:r>
        <w:t>13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Общие сведения</w:t>
      </w:r>
      <w:bookmarkStart w:name="_Toc001" w:id="2"/>
      <w:bookmarkEnd w:id="2"/>
    </w:p>
    <w:tbl>
      <w:tblPr>
        <w:tblW w:w="5000" w:type="pct"/>
        <w:tblBorders>
          <w:top w:val="single" w:color="FF6A00" w:sz="8"/>
          <w:left w:val="nil"/>
          <w:bottom w:val="single" w:color="FF6A00" w:sz="8"/>
          <w:right w:val="nil"/>
          <w:insideH w:val="single" w:color="E5E7EB" w:sz="4"/>
        </w:tblBorders>
      </w:tblPr>
      <w:tblGrid>
        <w:gridCol w:w="3000"/>
        <w:gridCol w:w="7000"/>
      </w:tblGrid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b/>
                <w:color w:val="374151"/>
                <w:sz w:val="20"/>
              </w:rPr>
              <w:t>Наименование проекта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color w:val="374151"/>
                <w:sz w:val="20"/>
              </w:rPr>
              <w:t>Sourcing Pipeline — внутренняя CRM для закупок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b/>
                <w:color w:val="374151"/>
                <w:sz w:val="20"/>
              </w:rPr>
              <w:t>Заказчик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color w:val="374151"/>
                <w:sz w:val="20"/>
              </w:rPr>
              <w:t>Студия продуктового дизайна (NDA)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b/>
                <w:color w:val="374151"/>
                <w:sz w:val="20"/>
              </w:rPr>
              <w:t>Тип проекта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color w:val="374151"/>
                <w:sz w:val="20"/>
              </w:rPr>
              <w:t>Визуальный прототип (кликабельный макет)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b/>
                <w:color w:val="374151"/>
                <w:sz w:val="20"/>
              </w:rPr>
              <w:t>Целевая индустрия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color w:val="374151"/>
                <w:sz w:val="20"/>
              </w:rPr>
              <w:t>FinTech / SaaS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b/>
                <w:color w:val="374151"/>
                <w:sz w:val="20"/>
              </w:rPr>
              <w:t>Тип клиентов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color w:val="374151"/>
                <w:sz w:val="20"/>
              </w:rPr>
              <w:t>B2B — торговые компании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b/>
                <w:color w:val="374151"/>
                <w:sz w:val="20"/>
              </w:rPr>
              <w:t>Срок разработки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color w:val="374151"/>
                <w:sz w:val="20"/>
              </w:rPr>
              <w:t>Предпроектная фаза (сокращение с 5 дней до 1 дня)</w:t>
            </w:r>
          </w:p>
        </w:tc>
      </w:tr>
    </w:tbl>
    <w:p>
      <w:r>
        <w:t>Настоящий документ является техническим заданием на разработку визуального прототипа внутренней CRM-системы для управления закупками — Sourcing Pipeline. Система предназначена для торговой компании и должна обеспечивать визуализацию и управление всем жизненным циклом заявки на закупку от создания до закрытия (Won/Lost).</w:t>
      </w:r>
    </w:p>
    <w:p>
      <w:r>
        <w:t>Прототип разрабатывается в формате кликабельного макета с моковыми данными. Все AI-функции и backend-интеграции реализуются в виде заглушек с визуальной индикацией потенциальной функциональности.</w:t>
      </w:r>
    </w:p>
    <w:p>
      <w:pPr>
        <w:pStyle w:val="Heading1"/>
      </w:pPr>
      <w:r>
        <w:t>2. Назначение и цели</w:t>
      </w:r>
      <w:bookmarkStart w:name="_Toc002" w:id="3"/>
      <w:bookmarkEnd w:id="3"/>
    </w:p>
    <w:p>
      <w:pPr>
        <w:pStyle w:val="Heading2"/>
      </w:pPr>
      <w:r>
        <w:t>2.1 Назначение разработки</w:t>
      </w:r>
    </w:p>
    <w:p>
      <w:r>
        <w:t>Создание визуального прототипа B2B sourcing-системы в стиле Jira с тёмной темой оформления и оранжевым акцентным цветом. Прототип должен демонстрировать ключевые пользовательские сценарии и визуальную концепцию продукта для согласования с бизнес-заказчиком перед началом полноценной разработки.</w:t>
      </w:r>
    </w:p>
    <w:p>
      <w:pPr>
        <w:pStyle w:val="Heading2"/>
      </w:pPr>
      <w:r>
        <w:t>2.2 Цели проекта</w:t>
      </w:r>
    </w:p>
    <w:p>
      <w:pPr>
        <w:numPr>
          <w:ilvl w:val="0"/>
          <w:numId w:val="1"/>
        </w:numPr>
      </w:pPr>
      <w:r>
        <w:t>Собрать кликабельный визуальный прототип всех ключевых экранов системы</w:t>
      </w:r>
    </w:p>
    <w:p>
      <w:pPr>
        <w:numPr>
          <w:ilvl w:val="0"/>
          <w:numId w:val="1"/>
        </w:numPr>
      </w:pPr>
      <w:r>
        <w:t>Продемонстрировать дизайн-систему, навигацию и пользовательские сценарии</w:t>
      </w:r>
    </w:p>
    <w:p>
      <w:pPr>
        <w:numPr>
          <w:ilvl w:val="0"/>
          <w:numId w:val="1"/>
        </w:numPr>
      </w:pPr>
      <w:r>
        <w:t>Обеспечить визуализацию моковых данных для наглядной презентации концепции</w:t>
      </w:r>
    </w:p>
    <w:p>
      <w:pPr>
        <w:numPr>
          <w:ilvl w:val="0"/>
          <w:numId w:val="1"/>
        </w:numPr>
      </w:pPr>
      <w:r>
        <w:t>Заложить архитектурную основу для дальнейшей разработки (семантические токены, компонентная база)</w:t>
      </w:r>
    </w:p>
    <w:p>
      <w:pPr>
        <w:pStyle w:val="Heading2"/>
      </w:pPr>
      <w:r>
        <w:t>2.3 Границы проекта</w:t>
      </w:r>
    </w:p>
    <w:p>
      <w:r>
        <w:t>В рамках прототипа НЕ разрабатываются: реальный backend, аутентификация пользователей, интеграция с внешними сервисами (кроме визуальных заглушек), real-time уведомления, система прав доступа. Все перечисленные элементы реализуются как UI-заглушки с корректным визуальным отображением.</w:t>
      </w:r>
    </w:p>
    <w:p>
      <w:pPr>
        <w:pStyle w:val="Heading1"/>
      </w:pPr>
      <w:r>
        <w:t>3. Требования к дизайн-системе</w:t>
      </w:r>
      <w:bookmarkStart w:name="_Toc003" w:id="4"/>
      <w:bookmarkEnd w:id="4"/>
    </w:p>
    <w:p>
      <w:pPr>
        <w:pStyle w:val="Heading2"/>
      </w:pPr>
      <w:r>
        <w:t>3.1 Цветовая палитра</w:t>
      </w:r>
    </w:p>
    <w:tbl>
      <w:tblPr>
        <w:tblW w:w="5000" w:type="pct"/>
        <w:tblBorders>
          <w:top w:val="single" w:color="FF6A00" w:sz="8"/>
          <w:bottom w:val="single" w:color="FF6A00" w:sz="8"/>
          <w:insideH w:val="single" w:color="E5E7EB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Роль</w:t>
            </w:r>
          </w:p>
        </w:tc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HEX</w:t>
            </w:r>
          </w:p>
        </w:tc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HSL</w:t>
            </w:r>
          </w:p>
        </w:tc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Применение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Фон основной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#0F1113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220, 10%, 7%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Фон страницы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Фон карточек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#1A1D21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216, 12%, 12%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Карточки, панели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Бордер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#2A2F36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214, 12%, 18%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Границы, разделители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Акцент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#FF6A00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24, 100%, 50%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Кнопки, ссылки, badge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Акцент hover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#FF8126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25, 100%, 57%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Hover-состояния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Текст основной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#EAECEF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220, 14%, 93%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Заголовки, основной текст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Текст вторичный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#9CA3AF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220, 9%, 65%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Подписи, мета-инфо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Success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#22C55E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142, 71%, 45%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Успешные статусы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Error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#EF4444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0, 84%, 60%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Ошибки, просроченные SLA</w:t>
            </w:r>
          </w:p>
        </w:tc>
      </w:tr>
    </w:tbl>
    <w:p>
      <w:pPr>
        <w:pStyle w:val="Heading2"/>
      </w:pPr>
      <w:r>
        <w:t>3.2 Типографика</w:t>
      </w:r>
    </w:p>
    <w:p>
      <w:r>
        <w:t>Основной шрифт — Inter (Google Fonts). Для русскоязычного интерфейса допускается fallback на системный sans-serif. Размерная сетка шрифтов строится по принципу модульной шкалы с базой 14px.</w:t>
      </w:r>
    </w:p>
    <w:tbl>
      <w:tblPr>
        <w:tblW w:w="5000" w:type="pct"/>
        <w:tblBorders>
          <w:top w:val="single" w:color="FF6A00" w:sz="8"/>
          <w:bottom w:val="single" w:color="FF6A00" w:sz="8"/>
          <w:insideH w:val="single" w:color="E5E7EB" w:sz="4"/>
        </w:tblBorders>
      </w:tblPr>
      <w:tblGrid>
        <w:gridCol w:w="2500"/>
        <w:gridCol w:w="1500"/>
        <w:gridCol w:w="2000"/>
        <w:gridCol w:w="4000"/>
      </w:tblGrid>
      <w:tr>
        <w:trPr>
          <w:tblHeader/>
        </w:trPr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Элемент</w:t>
            </w:r>
          </w:p>
        </w:tc>
        <w:tc>
          <w:tcPr>
            <w:tcW w:w="1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Размер</w:t>
            </w:r>
          </w:p>
        </w:tc>
        <w:tc>
          <w:tcPr>
            <w:tcW w:w="20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Вес</w:t>
            </w:r>
          </w:p>
        </w:tc>
        <w:tc>
          <w:tcPr>
            <w:tcW w:w="40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Применение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H1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24px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700 (Bold)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Заголовки страниц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H2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20px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600 (SemiBold)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Секции, названия колонок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H3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16px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600 (SemiBold)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Подсекции, карточки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Body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14px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400 (Regular)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Основной текст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Caption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12px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400 (Regular)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Подписи, мета-информация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Button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14px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500 (Medium)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Текст кнопок</w:t>
            </w:r>
          </w:p>
        </w:tc>
      </w:tr>
    </w:tbl>
    <w:p>
      <w:pPr>
        <w:pStyle w:val="Heading2"/>
      </w:pPr>
      <w:r>
        <w:t>3.3 Семантические токены</w:t>
      </w:r>
    </w:p>
    <w:p>
      <w:r>
        <w:t>Все цвета должны быть определены через семантические HSL-токены в файлах index.css и tailwind.config.ts. Пример структуры токенов:</w:t>
      </w:r>
    </w:p>
    <w:p>
      <w:pPr>
        <w:numPr>
          <w:ilvl w:val="0"/>
          <w:numId w:val="1"/>
        </w:numPr>
      </w:pPr>
      <w:r>
        <w:t>colors.background.primary: hsl(220, 10%, 7%) — #0F1113</w:t>
      </w:r>
    </w:p>
    <w:p>
      <w:pPr>
        <w:numPr>
          <w:ilvl w:val="0"/>
          <w:numId w:val="1"/>
        </w:numPr>
      </w:pPr>
      <w:r>
        <w:t>colors.background.card: hsl(216, 12%, 12%) — #1A1D21</w:t>
      </w:r>
    </w:p>
    <w:p>
      <w:pPr>
        <w:numPr>
          <w:ilvl w:val="0"/>
          <w:numId w:val="1"/>
        </w:numPr>
      </w:pPr>
      <w:r>
        <w:t>colors.border.DEFAULT: hsl(214, 12%, 18%) — #2A2F36</w:t>
      </w:r>
    </w:p>
    <w:p>
      <w:pPr>
        <w:numPr>
          <w:ilvl w:val="0"/>
          <w:numId w:val="1"/>
        </w:numPr>
      </w:pPr>
      <w:r>
        <w:t>colors.accent.DEFAULT: hsl(24, 100%, 50%) — #FF6A00</w:t>
      </w:r>
    </w:p>
    <w:p>
      <w:pPr>
        <w:numPr>
          <w:ilvl w:val="0"/>
          <w:numId w:val="1"/>
        </w:numPr>
      </w:pPr>
      <w:r>
        <w:t>colors.accent.hover: hsl(25, 100%, 57%) — #FF8126</w:t>
      </w:r>
    </w:p>
    <w:p>
      <w:pPr>
        <w:numPr>
          <w:ilvl w:val="0"/>
          <w:numId w:val="1"/>
        </w:numPr>
      </w:pPr>
      <w:r>
        <w:t>colors.text.primary: hsl(220, 14%, 93%) — #EAECEF</w:t>
      </w:r>
    </w:p>
    <w:p>
      <w:pPr>
        <w:numPr>
          <w:ilvl w:val="0"/>
          <w:numId w:val="1"/>
        </w:numPr>
      </w:pPr>
      <w:r>
        <w:t>colors.text.secondary: hsl(220, 9%, 65%) — #9CA3AF</w:t>
      </w:r>
    </w:p>
    <w:p>
      <w:pPr>
        <w:numPr>
          <w:ilvl w:val="0"/>
          <w:numId w:val="1"/>
        </w:numPr>
      </w:pPr>
      <w:r>
        <w:t>colors.status.success: hsl(142, 71%, 45%) — #22C55E</w:t>
      </w:r>
    </w:p>
    <w:p>
      <w:pPr>
        <w:numPr>
          <w:ilvl w:val="0"/>
          <w:numId w:val="1"/>
        </w:numPr>
      </w:pPr>
      <w:r>
        <w:t>colors.status.error: hsl(0, 84%, 60%) — #EF4444</w:t>
      </w:r>
    </w:p>
    <w:p>
      <w:pPr>
        <w:pStyle w:val="Heading2"/>
      </w:pPr>
      <w:r>
        <w:t>3.4 Принципы визуального оформления</w:t>
      </w:r>
    </w:p>
    <w:p>
      <w:pPr>
        <w:numPr>
          <w:ilvl w:val="0"/>
          <w:numId w:val="1"/>
        </w:numPr>
      </w:pPr>
      <w:r>
        <w:t>Плотная информационная архитектура — максимальное использование экранного пространства</w:t>
      </w:r>
    </w:p>
    <w:p>
      <w:pPr>
        <w:numPr>
          <w:ilvl w:val="0"/>
          <w:numId w:val="1"/>
        </w:numPr>
      </w:pPr>
      <w:r>
        <w:t>Минимализм — отсутствие лишних декоративных элементов</w:t>
      </w:r>
    </w:p>
    <w:p>
      <w:pPr>
        <w:numPr>
          <w:ilvl w:val="0"/>
          <w:numId w:val="1"/>
        </w:numPr>
      </w:pPr>
      <w:r>
        <w:t>Тонкие границы (1px) для разделения элементов вместо теней</w:t>
      </w:r>
    </w:p>
    <w:p>
      <w:pPr>
        <w:numPr>
          <w:ilvl w:val="0"/>
          <w:numId w:val="1"/>
        </w:numPr>
      </w:pPr>
      <w:r>
        <w:t>Консистентность отступов по сетке 4px</w:t>
      </w:r>
    </w:p>
    <w:p>
      <w:pPr>
        <w:numPr>
          <w:ilvl w:val="0"/>
          <w:numId w:val="1"/>
        </w:numPr>
      </w:pPr>
      <w:r>
        <w:t>Все интерактивные элементы имеют состояния: default, hover, active, disabled, loading</w:t>
      </w:r>
    </w:p>
    <w:p>
      <w:pPr>
        <w:pStyle w:val="Heading1"/>
      </w:pPr>
      <w:r>
        <w:t>4. Требования к Layout</w:t>
      </w:r>
      <w:bookmarkStart w:name="_Toc004" w:id="5"/>
      <w:bookmarkEnd w:id="5"/>
    </w:p>
    <w:p>
      <w:pPr>
        <w:pStyle w:val="Heading2"/>
      </w:pPr>
      <w:r>
        <w:t>4.1 Общая структура</w:t>
      </w:r>
    </w:p>
    <w:p>
      <w:r>
        <w:t>Приложение использует sidebar-навигацию с фиксированной шапкой (top bar). Основная рабочая область занимает всё доступное пространство между sidebar и top bar.</w:t>
      </w:r>
    </w:p>
    <w:p>
      <w:pPr>
        <w:pStyle w:val="Heading2"/>
      </w:pPr>
      <w:r>
        <w:t>4.2 Sidebar (левая панель)</w:t>
      </w:r>
    </w:p>
    <w:p>
      <w:r>
        <w:t>Реализован через SidebarProvider. Поддерживает два состояния: развёрнутое (200px) и свёрнутое (64px, только иконки). Переключение состояния — по кнопке или свайпу.</w:t>
      </w:r>
    </w:p>
    <w:tbl>
      <w:tblPr>
        <w:tblW w:w="5000" w:type="pct"/>
        <w:tblBorders>
          <w:top w:val="single" w:color="FF6A00" w:sz="8"/>
          <w:bottom w:val="single" w:color="FF6A00" w:sz="8"/>
          <w:insideH w:val="single" w:color="E5E7EB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W w:w="20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Пункт</w:t>
            </w:r>
          </w:p>
        </w:tc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Иконка</w:t>
            </w:r>
          </w:p>
        </w:tc>
        <w:tc>
          <w:tcPr>
            <w:tcW w:w="5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Поведение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Pipeline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Kanban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Главный экран, активен по умолчанию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Поставщики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Users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Таблица поставщиков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Аналитика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BarChart3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Дашборд с KPI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Уведомления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Bell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Badge с числом непрочитанных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Настройки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Settings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Заглушка, показывает "В разработке"</w:t>
            </w:r>
          </w:p>
        </w:tc>
      </w:tr>
    </w:tbl>
    <w:p>
      <w:pPr>
        <w:pStyle w:val="Heading2"/>
      </w:pPr>
      <w:r>
        <w:t>4.3 Top Bar</w:t>
      </w:r>
    </w:p>
    <w:p>
      <w:r>
        <w:t>Фиксированная верхняя панель высотой 56px. Содержит слева направо:</w:t>
      </w:r>
    </w:p>
    <w:p>
      <w:pPr>
        <w:numPr>
          <w:ilvl w:val="0"/>
          <w:numId w:val="1"/>
        </w:numPr>
      </w:pPr>
      <w:r>
        <w:t>Логотип системы (текстовый: "Sourcing Pipeline")</w:t>
      </w:r>
    </w:p>
    <w:p>
      <w:pPr>
        <w:numPr>
          <w:ilvl w:val="0"/>
          <w:numId w:val="1"/>
        </w:numPr>
      </w:pPr>
      <w:r>
        <w:t>Dropdown выбора проекта/команды (заглушка, отображает "Default Project")</w:t>
      </w:r>
    </w:p>
    <w:p>
      <w:pPr>
        <w:numPr>
          <w:ilvl w:val="0"/>
          <w:numId w:val="1"/>
        </w:numPr>
      </w:pPr>
      <w:r>
        <w:t>Поисковая строка по центру (ширина ~320px, placeholder: "Поиск по заявкам, поставщикам...", заглушка функциональности)</w:t>
      </w:r>
    </w:p>
    <w:p>
      <w:pPr>
        <w:numPr>
          <w:ilvl w:val="0"/>
          <w:numId w:val="1"/>
        </w:numPr>
      </w:pPr>
      <w:r>
        <w:t>Кнопка "+ Новая заявка" с оранжевым фоном, при клике — заглушка toast-уведомления</w:t>
      </w:r>
    </w:p>
    <w:p>
      <w:pPr>
        <w:numPr>
          <w:ilvl w:val="0"/>
          <w:numId w:val="1"/>
        </w:numPr>
      </w:pPr>
      <w:r>
        <w:t>Иконка колокольчика (уведомления) с числовым badge (красный круг, белый текст)</w:t>
      </w:r>
    </w:p>
    <w:p>
      <w:pPr>
        <w:numPr>
          <w:ilvl w:val="0"/>
          <w:numId w:val="1"/>
        </w:numPr>
      </w:pPr>
      <w:r>
        <w:t>Аватар пользователя с dropdown-меню (профиль, настройки, выход — все заглушки)</w:t>
      </w:r>
    </w:p>
    <w:p>
      <w:pPr>
        <w:pStyle w:val="Heading1"/>
      </w:pPr>
      <w:r>
        <w:t>5. Функциональные требования</w:t>
      </w:r>
      <w:bookmarkStart w:name="_Toc005" w:id="6"/>
      <w:bookmarkEnd w:id="6"/>
    </w:p>
    <w:p>
      <w:pPr>
        <w:pStyle w:val="Heading2"/>
      </w:pPr>
      <w:r>
        <w:t>5.1 Экран Pipeline (Kanban) — корневой маршрут /</w:t>
      </w:r>
    </w:p>
    <w:p>
      <w:r>
        <w:t>Главный экран системы. Представляет собой горизонтальную Kanban-доску с 5 колонками, отражающими стадии обработки заявки.</w:t>
      </w:r>
    </w:p>
    <w:p>
      <w:pPr>
        <w:pStyle w:val="Heading3"/>
      </w:pPr>
      <w:r>
        <w:t>Структура колонок</w:t>
      </w:r>
    </w:p>
    <w:tbl>
      <w:tblPr>
        <w:tblW w:w="5000" w:type="pct"/>
        <w:tblBorders>
          <w:top w:val="single" w:color="FF6A00" w:sz="8"/>
          <w:bottom w:val="single" w:color="FF6A00" w:sz="8"/>
          <w:insideH w:val="single" w:color="E5E7EB" w:sz="4"/>
        </w:tblBorders>
      </w:tblPr>
      <w:tblGrid>
        <w:gridCol w:w="2500"/>
        <w:gridCol w:w="4000"/>
        <w:gridCol w:w="3500"/>
      </w:tblGrid>
      <w:tr>
        <w:trPr>
          <w:tblHeader/>
        </w:trPr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Колонка</w:t>
            </w:r>
          </w:p>
        </w:tc>
        <w:tc>
          <w:tcPr>
            <w:tcW w:w="40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Описание</w:t>
            </w:r>
          </w:p>
        </w:tc>
        <w:tc>
          <w:tcPr>
            <w:tcW w:w="3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Визуальная индикация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New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Новые заявки, поступившие от клиентов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Бордер колонки — серый (#9CA3AF)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In sourcing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В процессе поиска поставщиков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Бордер — синий (#3B82F6)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Options ready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Варианты поставщиков собраны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Бордер — жёлтый (#EAB308)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Sent to client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Предложение отправлено клиенту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Бордер — фиолетовый (#8B5CF6)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Won / Lost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Закрытые заявки (успешно / отказ)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Бордер — зелёный/красный</w:t>
            </w:r>
          </w:p>
        </w:tc>
      </w:tr>
    </w:tbl>
    <w:p>
      <w:pPr>
        <w:pStyle w:val="Heading3"/>
      </w:pPr>
      <w:r>
        <w:t>Карточка заявки (Kanban Card)</w:t>
      </w:r>
    </w:p>
    <w:p>
      <w:r>
        <w:t>Каждая карточка в колонке содержит:</w:t>
      </w:r>
    </w:p>
    <w:p>
      <w:pPr>
        <w:numPr>
          <w:ilvl w:val="0"/>
          <w:numId w:val="1"/>
        </w:numPr>
      </w:pPr>
      <w:r>
        <w:t>ID заявки (формат: SRC-XXXX, например SRC-1001) — текст оранжевого цвета</w:t>
      </w:r>
    </w:p>
    <w:p>
      <w:pPr>
        <w:numPr>
          <w:ilvl w:val="0"/>
          <w:numId w:val="1"/>
        </w:numPr>
      </w:pPr>
      <w:r>
        <w:t>Название клиента — основной текст</w:t>
      </w:r>
    </w:p>
    <w:p>
      <w:pPr>
        <w:numPr>
          <w:ilvl w:val="0"/>
          <w:numId w:val="1"/>
        </w:numPr>
      </w:pPr>
      <w:r>
        <w:t>Наименование товара — вторичный текст</w:t>
      </w:r>
    </w:p>
    <w:p>
      <w:pPr>
        <w:numPr>
          <w:ilvl w:val="0"/>
          <w:numId w:val="1"/>
        </w:numPr>
      </w:pPr>
      <w:r>
        <w:t>Объём партии (с единицами измерения)</w:t>
      </w:r>
    </w:p>
    <w:p>
      <w:pPr>
        <w:numPr>
          <w:ilvl w:val="0"/>
          <w:numId w:val="1"/>
        </w:numPr>
      </w:pPr>
      <w:r>
        <w:t>Дедлайн (формат: DD.MM.YYYY) с цветовой индикацией: норма — серый, горит (&lt; 3 дней) — оранжевый, просрочен — красный</w:t>
      </w:r>
    </w:p>
    <w:p>
      <w:pPr>
        <w:numPr>
          <w:ilvl w:val="0"/>
          <w:numId w:val="1"/>
        </w:numPr>
      </w:pPr>
      <w:r>
        <w:t>Статус-тег (маленький pill: urgent, regular, vip)</w:t>
      </w:r>
    </w:p>
    <w:p>
      <w:pPr>
        <w:numPr>
          <w:ilvl w:val="0"/>
          <w:numId w:val="1"/>
        </w:numPr>
      </w:pPr>
      <w:r>
        <w:t>Аватар ответственного менеджера (круглый, 24x24px)</w:t>
      </w:r>
    </w:p>
    <w:p>
      <w:pPr>
        <w:numPr>
          <w:ilvl w:val="0"/>
          <w:numId w:val="1"/>
        </w:numPr>
      </w:pPr>
      <w:r>
        <w:t>Иконки внизу карточки: 💬 (число комментариев), 📎 (число файлов), ⚠ (SLA-индикатор — красный если просрочен)</w:t>
      </w:r>
    </w:p>
    <w:p>
      <w:pPr>
        <w:pStyle w:val="Heading3"/>
      </w:pPr>
      <w:r>
        <w:t>Поведение</w:t>
      </w:r>
    </w:p>
    <w:p>
      <w:pPr>
        <w:numPr>
          <w:ilvl w:val="0"/>
          <w:numId w:val="1"/>
        </w:numPr>
      </w:pPr>
      <w:r>
        <w:t>Drag-and-drop карточек между колонками с обновлением локального состояния (React state)</w:t>
      </w:r>
    </w:p>
    <w:p>
      <w:pPr>
        <w:numPr>
          <w:ilvl w:val="0"/>
          <w:numId w:val="1"/>
        </w:numPr>
      </w:pPr>
      <w:r>
        <w:t>При перетаскивании в колонку Won/Lost — показывать confirmation-диалог (заглушка)</w:t>
      </w:r>
    </w:p>
    <w:p>
      <w:pPr>
        <w:numPr>
          <w:ilvl w:val="0"/>
          <w:numId w:val="1"/>
        </w:numPr>
      </w:pPr>
      <w:r>
        <w:t>Hover на карточку — подсветка границы оранжевым (#FF6A00), появление быстрых действий (иконки: редактировать, дублировать, архивировать)</w:t>
      </w:r>
    </w:p>
    <w:p>
      <w:pPr>
        <w:numPr>
          <w:ilvl w:val="0"/>
          <w:numId w:val="1"/>
        </w:numPr>
      </w:pPr>
      <w:r>
        <w:t>Клик на карточку — переход на экран детальной карточки заявки (/request/:id)</w:t>
      </w:r>
    </w:p>
    <w:p>
      <w:pPr>
        <w:numPr>
          <w:ilvl w:val="0"/>
          <w:numId w:val="1"/>
        </w:numPr>
      </w:pPr>
      <w:r>
        <w:t>Кнопка "+" в заголовке колонки — создание новой заявки (заглушка)</w:t>
      </w:r>
    </w:p>
    <w:p>
      <w:pPr>
        <w:pStyle w:val="Heading3"/>
      </w:pPr>
      <w:r>
        <w:t>Моковые данные — минимум 7 карточек</w:t>
      </w:r>
    </w:p>
    <w:tbl>
      <w:tblPr>
        <w:tblW w:w="5000" w:type="pct"/>
        <w:tblBorders>
          <w:top w:val="single" w:color="FF6A00" w:sz="8"/>
          <w:bottom w:val="single" w:color="FF6A00" w:sz="8"/>
          <w:insideH w:val="single" w:color="E5E7EB" w:sz="4"/>
        </w:tblBorders>
      </w:tblPr>
      <w:tblGrid>
        <w:gridCol w:w="1200"/>
        <w:gridCol w:w="2000"/>
        <w:gridCol w:w="2000"/>
        <w:gridCol w:w="1500"/>
        <w:gridCol w:w="1300"/>
        <w:gridCol w:w="2000"/>
      </w:tblGrid>
      <w:tr>
        <w:trPr>
          <w:tblHeader/>
        </w:trPr>
        <w:tc>
          <w:tcPr>
            <w:tcW w:w="1200" w:type="dxa"/>
            <w:shd w:val="clear" w:fill="F9FAFB"/>
          </w:tcPr>
          <w:p>
            <w:pPr>
              <w:spacing w:before="30" w:after="30"/>
              <w:jc w:val="left"/>
            </w:pPr>
            <w:r>
              <w:rPr>
                <w:b/>
                <w:color w:val="374151"/>
                <w:sz w:val="17"/>
              </w:rPr>
              <w:t>ID</w:t>
            </w:r>
          </w:p>
        </w:tc>
        <w:tc>
          <w:tcPr>
            <w:tcW w:w="2000" w:type="dxa"/>
            <w:shd w:val="clear" w:fill="F9FAFB"/>
          </w:tcPr>
          <w:p>
            <w:pPr>
              <w:spacing w:before="30" w:after="30"/>
              <w:jc w:val="left"/>
            </w:pPr>
            <w:r>
              <w:rPr>
                <w:b/>
                <w:color w:val="374151"/>
                <w:sz w:val="17"/>
              </w:rPr>
              <w:t>Клиент</w:t>
            </w:r>
          </w:p>
        </w:tc>
        <w:tc>
          <w:tcPr>
            <w:tcW w:w="2000" w:type="dxa"/>
            <w:shd w:val="clear" w:fill="F9FAFB"/>
          </w:tcPr>
          <w:p>
            <w:pPr>
              <w:spacing w:before="30" w:after="30"/>
              <w:jc w:val="left"/>
            </w:pPr>
            <w:r>
              <w:rPr>
                <w:b/>
                <w:color w:val="374151"/>
                <w:sz w:val="17"/>
              </w:rPr>
              <w:t>Товар</w:t>
            </w:r>
          </w:p>
        </w:tc>
        <w:tc>
          <w:tcPr>
            <w:tcW w:w="1500" w:type="dxa"/>
            <w:shd w:val="clear" w:fill="F9FAFB"/>
          </w:tcPr>
          <w:p>
            <w:pPr>
              <w:spacing w:before="30" w:after="30"/>
              <w:jc w:val="left"/>
            </w:pPr>
            <w:r>
              <w:rPr>
                <w:b/>
                <w:color w:val="374151"/>
                <w:sz w:val="17"/>
              </w:rPr>
              <w:t>Объём</w:t>
            </w:r>
          </w:p>
        </w:tc>
        <w:tc>
          <w:tcPr>
            <w:tcW w:w="1300" w:type="dxa"/>
            <w:shd w:val="clear" w:fill="F9FAFB"/>
          </w:tcPr>
          <w:p>
            <w:pPr>
              <w:spacing w:before="30" w:after="30"/>
              <w:jc w:val="left"/>
            </w:pPr>
            <w:r>
              <w:rPr>
                <w:b/>
                <w:color w:val="374151"/>
                <w:sz w:val="17"/>
              </w:rPr>
              <w:t>Дедлайн</w:t>
            </w:r>
          </w:p>
        </w:tc>
        <w:tc>
          <w:tcPr>
            <w:tcW w:w="2000" w:type="dxa"/>
            <w:shd w:val="clear" w:fill="F9FAFB"/>
          </w:tcPr>
          <w:p>
            <w:pPr>
              <w:spacing w:before="30" w:after="30"/>
              <w:jc w:val="left"/>
            </w:pPr>
            <w:r>
              <w:rPr>
                <w:b/>
                <w:color w:val="374151"/>
                <w:sz w:val="17"/>
              </w:rPr>
              <w:t>Статус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SRC-1001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ООО ТехноИмпорт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Стальные трубы</w:t>
            </w:r>
          </w:p>
        </w:tc>
        <w:tc>
          <w:tcPr>
            <w:tcW w:w="15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500 т</w:t>
            </w:r>
          </w:p>
        </w:tc>
        <w:tc>
          <w:tcPr>
            <w:tcW w:w="13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15.05.2026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New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SRC-1002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АльфаГрупп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Полимерные пленки</w:t>
            </w:r>
          </w:p>
        </w:tc>
        <w:tc>
          <w:tcPr>
            <w:tcW w:w="15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200 т</w:t>
            </w:r>
          </w:p>
        </w:tc>
        <w:tc>
          <w:tcPr>
            <w:tcW w:w="13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10.05.2026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In sourcing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SRC-1003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ГлобалТрейд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Алюминиевый прокат</w:t>
            </w:r>
          </w:p>
        </w:tc>
        <w:tc>
          <w:tcPr>
            <w:tcW w:w="15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1000 т</w:t>
            </w:r>
          </w:p>
        </w:tc>
        <w:tc>
          <w:tcPr>
            <w:tcW w:w="13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20.05.2026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Options ready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SRC-1004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МегаСтрой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Цемент М500</w:t>
            </w:r>
          </w:p>
        </w:tc>
        <w:tc>
          <w:tcPr>
            <w:tcW w:w="15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2000 т</w:t>
            </w:r>
          </w:p>
        </w:tc>
        <w:tc>
          <w:tcPr>
            <w:tcW w:w="13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05.05.2026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Sent to client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SRC-1005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Индастриал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Медный кабель</w:t>
            </w:r>
          </w:p>
        </w:tc>
        <w:tc>
          <w:tcPr>
            <w:tcW w:w="15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300 т</w:t>
            </w:r>
          </w:p>
        </w:tc>
        <w:tc>
          <w:tcPr>
            <w:tcW w:w="13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01.05.2026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Won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SRC-1006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ЮнионСнаб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Пластиковый гранулят</w:t>
            </w:r>
          </w:p>
        </w:tc>
        <w:tc>
          <w:tcPr>
            <w:tcW w:w="15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150 т</w:t>
            </w:r>
          </w:p>
        </w:tc>
        <w:tc>
          <w:tcPr>
            <w:tcW w:w="13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12.05.2026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In sourcing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SRC-1007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ВостокИмпорт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Резиновые уплотнители</w:t>
            </w:r>
          </w:p>
        </w:tc>
        <w:tc>
          <w:tcPr>
            <w:tcW w:w="15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50 т</w:t>
            </w:r>
          </w:p>
        </w:tc>
        <w:tc>
          <w:tcPr>
            <w:tcW w:w="13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08.05.2026</w:t>
            </w:r>
          </w:p>
        </w:tc>
        <w:tc>
          <w:tcPr>
            <w:tcW w:w="2000" w:type="dxa"/>
          </w:tcPr>
          <w:p>
            <w:pPr>
              <w:spacing w:before="30" w:after="30"/>
              <w:jc w:val="left"/>
            </w:pPr>
            <w:r>
              <w:rPr>
                <w:color w:val="4B5563"/>
                <w:sz w:val="17"/>
              </w:rPr>
              <w:t>Lost</w:t>
            </w:r>
          </w:p>
        </w:tc>
      </w:tr>
    </w:tbl>
    <w:p>
      <w:pPr>
        <w:pStyle w:val="Heading2"/>
      </w:pPr>
      <w:r>
        <w:t>5.2 Карточка заявки — маршрут /request/:id</w:t>
      </w:r>
    </w:p>
    <w:p>
      <w:r>
        <w:t>Детальная страница заявки с трёхзонным layout. URL содержит ID заявки, при прямом переходе отображает заявку по умолчанию (SRC-1001).</w:t>
      </w:r>
    </w:p>
    <w:p>
      <w:pPr>
        <w:pStyle w:val="Heading3"/>
      </w:pPr>
      <w:r>
        <w:t>Левая зона — Общие данные</w:t>
      </w:r>
    </w:p>
    <w:p>
      <w:pPr>
        <w:numPr>
          <w:ilvl w:val="0"/>
          <w:numId w:val="1"/>
        </w:numPr>
      </w:pPr>
      <w:r>
        <w:t>Поле "Клиент" — текстовое, редактируемое</w:t>
      </w:r>
    </w:p>
    <w:p>
      <w:pPr>
        <w:numPr>
          <w:ilvl w:val="0"/>
          <w:numId w:val="1"/>
        </w:numPr>
      </w:pPr>
      <w:r>
        <w:t>Поле "Товар" — текстовое, редактируемое</w:t>
      </w:r>
    </w:p>
    <w:p>
      <w:pPr>
        <w:numPr>
          <w:ilvl w:val="0"/>
          <w:numId w:val="1"/>
        </w:numPr>
      </w:pPr>
      <w:r>
        <w:t>Поле "Объём" — числовое с единицей измерения</w:t>
      </w:r>
    </w:p>
    <w:p>
      <w:pPr>
        <w:numPr>
          <w:ilvl w:val="0"/>
          <w:numId w:val="1"/>
        </w:numPr>
      </w:pPr>
      <w:r>
        <w:t>Datepicker "Дедлайн" — календарь с выбором даты</w:t>
      </w:r>
    </w:p>
    <w:p>
      <w:pPr>
        <w:numPr>
          <w:ilvl w:val="0"/>
          <w:numId w:val="1"/>
        </w:numPr>
      </w:pPr>
      <w:r>
        <w:t>Dropdown "Статус" — выбор из 5 значений (New, In sourcing, Options ready, Sent to client, Won/Lost)</w:t>
      </w:r>
    </w:p>
    <w:p>
      <w:pPr>
        <w:numPr>
          <w:ilvl w:val="0"/>
          <w:numId w:val="1"/>
        </w:numPr>
      </w:pPr>
      <w:r>
        <w:t>Selector "Ответственный" — выпадающий список с аватарами менеджеров</w:t>
      </w:r>
    </w:p>
    <w:p>
      <w:pPr>
        <w:numPr>
          <w:ilvl w:val="0"/>
          <w:numId w:val="1"/>
        </w:numPr>
      </w:pPr>
      <w:r>
        <w:t>Текстовая область "Описание" — многострочное поле</w:t>
      </w:r>
    </w:p>
    <w:p>
      <w:pPr>
        <w:numPr>
          <w:ilvl w:val="0"/>
          <w:numId w:val="1"/>
        </w:numPr>
      </w:pPr>
      <w:r>
        <w:t>Зона drag&amp;drop файлов — поддержка визуального перетаскивания, отображает прикреплённые файлы с иконками (invoice.pdf, specification.xlsx, photo.jpg — моковые данные)</w:t>
      </w:r>
    </w:p>
    <w:p>
      <w:pPr>
        <w:pStyle w:val="Heading3"/>
      </w:pPr>
      <w:r>
        <w:t>Центральная зона — Табы</w:t>
      </w:r>
    </w:p>
    <w:p>
      <w:r>
        <w:t>Три вкладки с переключением без перезагрузки страницы:</w:t>
      </w:r>
    </w:p>
    <w:p>
      <w:pPr>
        <w:numPr>
          <w:ilvl w:val="0"/>
          <w:numId w:val="1"/>
        </w:numPr>
      </w:pPr>
      <w:r>
        <w:rPr>
          <w:b/>
        </w:rPr>
        <w:t>Комментарии</w:t>
      </w:r>
      <w:r>
        <w:t> — лента комментариев в формате чата. Каждый комментарий: аватар, имя, дата/время, текст. Поле ввода с поддержкой @mention (dropdown с пользователями), прикрепления файла, emoji-пикера. Отправка по Enter. Моковые данные: 3-4 комментария.</w:t>
      </w:r>
    </w:p>
    <w:p>
      <w:pPr>
        <w:numPr>
          <w:ilvl w:val="0"/>
          <w:numId w:val="1"/>
        </w:numPr>
      </w:pPr>
      <w:r>
        <w:rPr>
          <w:b/>
        </w:rPr>
        <w:t>Закупка</w:t>
      </w:r>
      <w:r>
        <w:t> — таблица поставщиков со столбцами: Поставщик, Цена за единицу, Срок поставки (дней), MOQ (минимальный заказ), Комментарий. Поддержка сортировки по каждому столбцу (клик по заголовку), текстового фильтра. Кнопка "+ Добавить поставщика" — добавление пустой строки в таблицу. Кнопка "Отправить в sales" — меняет статус заявки на "Sent to client" с подтверждающим диалогом.</w:t>
      </w:r>
    </w:p>
    <w:p>
      <w:pPr>
        <w:numPr>
          <w:ilvl w:val="0"/>
          <w:numId w:val="1"/>
        </w:numPr>
      </w:pPr>
      <w:r>
        <w:rPr>
          <w:b/>
        </w:rPr>
        <w:t>Оффер</w:t>
      </w:r>
      <w:r>
        <w:t> — секция генерации коммерческого предложения. Кнопка "Сгенерировать оффер (AI)" с иконкой молнии — при клике показывает skeleton loader (2 секунды), затем отображает 3 варианта оффера в виде карточек. Каждый вариант: краткое описание, цена, срок. Действия с каждым вариантом: редактировать (иконка карандаша), копировать (иконка копирования), отправить (dropdown: email, WhatsApp, Telegram — все заглушки, показывают toast "Отправлено").</w:t>
      </w:r>
    </w:p>
    <w:p>
      <w:pPr>
        <w:pStyle w:val="Heading3"/>
      </w:pPr>
      <w:r>
        <w:t>Правая зона — Информационная панель</w:t>
      </w:r>
    </w:p>
    <w:p>
      <w:pPr>
        <w:numPr>
          <w:ilvl w:val="0"/>
          <w:numId w:val="1"/>
        </w:numPr>
      </w:pPr>
      <w:r>
        <w:t>SLA-таймер: время нахождения заявки в текущем статусе (формат: DD д HH:MM). Цветовая индикация: зелёный (&lt; 50% SLA), оранжевый (50-80%), красный (&gt; 80%)</w:t>
      </w:r>
    </w:p>
    <w:p>
      <w:pPr>
        <w:numPr>
          <w:ilvl w:val="0"/>
          <w:numId w:val="1"/>
        </w:numPr>
      </w:pPr>
      <w:r>
        <w:t>История (timeline): вертикальная лента изменений статусов с датами и аватарами менеджеров</w:t>
      </w:r>
    </w:p>
    <w:p>
      <w:pPr>
        <w:numPr>
          <w:ilvl w:val="0"/>
          <w:numId w:val="1"/>
        </w:numPr>
      </w:pPr>
      <w:r>
        <w:t>Быстрые действия: кнопки "Редактировать", "Дублировать", "Архивировать", "Удалить" — все с подтверждением (заглушки)</w:t>
      </w:r>
    </w:p>
    <w:p>
      <w:pPr>
        <w:pStyle w:val="Heading2"/>
      </w:pPr>
      <w:r>
        <w:t>5.3 Экран Поставщики — маршрут /suppliers</w:t>
      </w:r>
    </w:p>
    <w:p>
      <w:r>
        <w:t>Табличный интерфейс управления базой поставщиков.</w:t>
      </w:r>
    </w:p>
    <w:p>
      <w:pPr>
        <w:numPr>
          <w:ilvl w:val="0"/>
          <w:numId w:val="1"/>
        </w:numPr>
      </w:pPr>
      <w:r>
        <w:t>Таблица со столбцами: Название компании, Рейтинг (1-5 звёздочек), Кол-во сделок, Средняя цена, Страна, Статус (active / on hold / blocked)</w:t>
      </w:r>
    </w:p>
    <w:p>
      <w:pPr>
        <w:numPr>
          <w:ilvl w:val="0"/>
          <w:numId w:val="1"/>
        </w:numPr>
      </w:pPr>
      <w:r>
        <w:t>Фильтры: по стране (dropdown), по рейтингу (range), по статусу (табы), текстовый поиск по названию</w:t>
      </w:r>
    </w:p>
    <w:p>
      <w:pPr>
        <w:numPr>
          <w:ilvl w:val="0"/>
          <w:numId w:val="1"/>
        </w:numPr>
      </w:pPr>
      <w:r>
        <w:t>Клик по строке — переход на детальную карточку поставщика</w:t>
      </w:r>
    </w:p>
    <w:p>
      <w:pPr>
        <w:pStyle w:val="Heading3"/>
      </w:pPr>
      <w:r>
        <w:t>Карточка поставщика (модальное окно)</w:t>
      </w:r>
    </w:p>
    <w:p>
      <w:pPr>
        <w:numPr>
          <w:ilvl w:val="0"/>
          <w:numId w:val="1"/>
        </w:numPr>
      </w:pPr>
      <w:r>
        <w:t>Контактная информация: имя, телефон, email, мессенджеры (иконки WhatsApp/Telegram)</w:t>
      </w:r>
    </w:p>
    <w:p>
      <w:pPr>
        <w:numPr>
          <w:ilvl w:val="0"/>
          <w:numId w:val="1"/>
        </w:numPr>
      </w:pPr>
      <w:r>
        <w:t>История заказов: таблица с заявками, связанными с поставщиком</w:t>
      </w:r>
    </w:p>
    <w:p>
      <w:pPr>
        <w:numPr>
          <w:ilvl w:val="0"/>
          <w:numId w:val="1"/>
        </w:numPr>
      </w:pPr>
      <w:r>
        <w:t>Отзывы: 5-бальная шкала с текстовыми комментариями</w:t>
      </w:r>
    </w:p>
    <w:p>
      <w:pPr>
        <w:numPr>
          <w:ilvl w:val="0"/>
          <w:numId w:val="1"/>
        </w:numPr>
      </w:pPr>
      <w:r>
        <w:t>Файлы: прикреплённые документы (договоры, сертификаты)</w:t>
      </w:r>
    </w:p>
    <w:p>
      <w:pPr>
        <w:numPr>
          <w:ilvl w:val="0"/>
          <w:numId w:val="1"/>
        </w:numPr>
      </w:pPr>
      <w:r>
        <w:t>Заметки: текстовое поле для произвольных записей</w:t>
      </w:r>
    </w:p>
    <w:p>
      <w:pPr>
        <w:pStyle w:val="Heading2"/>
      </w:pPr>
      <w:r>
        <w:t>5.4 Экран Аналитика — маршрут /analytics</w:t>
      </w:r>
    </w:p>
    <w:p>
      <w:r>
        <w:t>Дашборд с ключевыми метриками sourcing-процесса. Использует библиотеку recharts для визуализации.</w:t>
      </w:r>
    </w:p>
    <w:p>
      <w:pPr>
        <w:pStyle w:val="Heading3"/>
      </w:pPr>
      <w:r>
        <w:t>KPI-карточки (верхний ряд)</w:t>
      </w:r>
    </w:p>
    <w:p>
      <w:pPr>
        <w:numPr>
          <w:ilvl w:val="0"/>
          <w:numId w:val="1"/>
        </w:numPr>
      </w:pPr>
      <w:r>
        <w:t>Среднее время обработки заявки (дни)</w:t>
      </w:r>
    </w:p>
    <w:p>
      <w:pPr>
        <w:numPr>
          <w:ilvl w:val="0"/>
          <w:numId w:val="1"/>
        </w:numPr>
      </w:pPr>
      <w:r>
        <w:t>Среднее время sourcing (дни)</w:t>
      </w:r>
    </w:p>
    <w:p>
      <w:pPr>
        <w:numPr>
          <w:ilvl w:val="0"/>
          <w:numId w:val="1"/>
        </w:numPr>
      </w:pPr>
      <w:r>
        <w:t>Конверсия Won/Lost (%)</w:t>
      </w:r>
    </w:p>
    <w:p>
      <w:pPr>
        <w:numPr>
          <w:ilvl w:val="0"/>
          <w:numId w:val="1"/>
        </w:numPr>
      </w:pPr>
      <w:r>
        <w:t>Количество активных заявок</w:t>
      </w:r>
    </w:p>
    <w:p>
      <w:pPr>
        <w:numPr>
          <w:ilvl w:val="0"/>
          <w:numId w:val="1"/>
        </w:numPr>
      </w:pPr>
      <w:r>
        <w:t>Каждая карточка: значение, динамика за период (зелёная/красная стрелка), мини-спарклайн (опционально)</w:t>
      </w:r>
    </w:p>
    <w:p>
      <w:pPr>
        <w:pStyle w:val="Heading3"/>
      </w:pPr>
      <w:r>
        <w:t>Воронка конверсии</w:t>
      </w:r>
    </w:p>
    <w:p>
      <w:pPr>
        <w:numPr>
          <w:ilvl w:val="0"/>
          <w:numId w:val="1"/>
        </w:numPr>
      </w:pPr>
      <w:r>
        <w:t>Вертикальная воронка: New → In sourcing → Options ready → Sent to client → Won</w:t>
      </w:r>
    </w:p>
    <w:p>
      <w:pPr>
        <w:numPr>
          <w:ilvl w:val="0"/>
          <w:numId w:val="1"/>
        </w:numPr>
      </w:pPr>
      <w:r>
        <w:t>Каждый этап: количество заявок, процент конверсии от предыдущего</w:t>
      </w:r>
    </w:p>
    <w:p>
      <w:pPr>
        <w:numPr>
          <w:ilvl w:val="0"/>
          <w:numId w:val="1"/>
        </w:numPr>
      </w:pPr>
      <w:r>
        <w:t>Цветовая дифференциация: яркость увеличивается к финальным этапам</w:t>
      </w:r>
    </w:p>
    <w:p>
      <w:pPr>
        <w:pStyle w:val="Heading3"/>
      </w:pPr>
      <w:r>
        <w:t>Диаграмма "Узкие места" (Bar Chart)</w:t>
      </w:r>
    </w:p>
    <w:p>
      <w:pPr>
        <w:numPr>
          <w:ilvl w:val="0"/>
          <w:numId w:val="1"/>
        </w:numPr>
      </w:pPr>
      <w:r>
        <w:t>Горизонтальная столбчатая диаграмма</w:t>
      </w:r>
    </w:p>
    <w:p>
      <w:pPr>
        <w:numPr>
          <w:ilvl w:val="0"/>
          <w:numId w:val="1"/>
        </w:numPr>
      </w:pPr>
      <w:r>
        <w:t>Ось Y: этапы процесса / категории</w:t>
      </w:r>
    </w:p>
    <w:p>
      <w:pPr>
        <w:numPr>
          <w:ilvl w:val="0"/>
          <w:numId w:val="1"/>
        </w:numPr>
      </w:pPr>
      <w:r>
        <w:t>Ось X: среднее время задержки (дни)</w:t>
      </w:r>
    </w:p>
    <w:p>
      <w:pPr>
        <w:numPr>
          <w:ilvl w:val="0"/>
          <w:numId w:val="1"/>
        </w:numPr>
      </w:pPr>
      <w:r>
        <w:t>Столбцы окрашены градиентом от зелёного (короткое время) до красного (долгое)</w:t>
      </w:r>
    </w:p>
    <w:p>
      <w:pPr>
        <w:pStyle w:val="Heading3"/>
      </w:pPr>
      <w:r>
        <w:t>Таблица "Разрез по менеджерам"</w:t>
      </w:r>
    </w:p>
    <w:p>
      <w:pPr>
        <w:numPr>
          <w:ilvl w:val="0"/>
          <w:numId w:val="1"/>
        </w:numPr>
      </w:pPr>
      <w:r>
        <w:t>Столбцы: Менеджер (аватар + имя), Активные заявки, Закрыто (Won), Закрыто (Lost), Конверсия, Среднее время обработки</w:t>
      </w:r>
    </w:p>
    <w:p>
      <w:pPr>
        <w:numPr>
          <w:ilvl w:val="0"/>
          <w:numId w:val="1"/>
        </w:numPr>
      </w:pPr>
      <w:r>
        <w:t>Сортировка по любому столбцу</w:t>
      </w:r>
    </w:p>
    <w:p>
      <w:pPr>
        <w:numPr>
          <w:ilvl w:val="0"/>
          <w:numId w:val="1"/>
        </w:numPr>
      </w:pPr>
      <w:r>
        <w:t>Клик по строке — фильтрация Pipeline по выбранному менеджеру</w:t>
      </w:r>
    </w:p>
    <w:p>
      <w:pPr>
        <w:pStyle w:val="Heading2"/>
      </w:pPr>
      <w:r>
        <w:t>5.5 Экран Уведомления — маршрут /notifications</w:t>
      </w:r>
    </w:p>
    <w:p>
      <w:r>
        <w:t>Список системных уведомлений пользователя.</w:t>
      </w:r>
    </w:p>
    <w:p>
      <w:pPr>
        <w:numPr>
          <w:ilvl w:val="0"/>
          <w:numId w:val="1"/>
        </w:numPr>
      </w:pPr>
      <w:r>
        <w:t>Типы уведомлений: новая заявка назначена, упоминание в комментарии (@username), SLA просрочен, ответ от закупки/поставщика, системное уведомление</w:t>
      </w:r>
    </w:p>
    <w:p>
      <w:pPr>
        <w:numPr>
          <w:ilvl w:val="0"/>
          <w:numId w:val="1"/>
        </w:numPr>
      </w:pPr>
      <w:r>
        <w:t>Каждое уведомление: иконка типа, заголовок, описание, timestamp, индикатор прочтения (синяя точка для новых)</w:t>
      </w:r>
    </w:p>
    <w:p>
      <w:pPr>
        <w:numPr>
          <w:ilvl w:val="0"/>
          <w:numId w:val="1"/>
        </w:numPr>
      </w:pPr>
      <w:r>
        <w:t>Возможность отметить все как прочитанные</w:t>
      </w:r>
    </w:p>
    <w:p>
      <w:pPr>
        <w:numPr>
          <w:ilvl w:val="0"/>
          <w:numId w:val="1"/>
        </w:numPr>
      </w:pPr>
      <w:r>
        <w:t>Клик на уведомление — переход к связанной заявке</w:t>
      </w:r>
    </w:p>
    <w:p>
      <w:pPr>
        <w:pStyle w:val="Heading3"/>
      </w:pPr>
      <w:r>
        <w:t>Pop-up колокольчика (Top Bar)</w:t>
      </w:r>
    </w:p>
    <w:p>
      <w:pPr>
        <w:numPr>
          <w:ilvl w:val="0"/>
          <w:numId w:val="1"/>
        </w:numPr>
      </w:pPr>
      <w:r>
        <w:t>При клике на иконку колокольчика — dropdown с 5 последними уведомлениями</w:t>
      </w:r>
    </w:p>
    <w:p>
      <w:pPr>
        <w:numPr>
          <w:ilvl w:val="0"/>
          <w:numId w:val="1"/>
        </w:numPr>
      </w:pPr>
      <w:r>
        <w:t>Кнопка "Показать все" — переход на /notifications</w:t>
      </w:r>
    </w:p>
    <w:p>
      <w:pPr>
        <w:numPr>
          <w:ilvl w:val="0"/>
          <w:numId w:val="1"/>
        </w:numPr>
      </w:pPr>
      <w:r>
        <w:t>Badge с числом непрочитанных (обновляется при отметке прочитанными)</w:t>
      </w:r>
    </w:p>
    <w:p>
      <w:pPr>
        <w:pStyle w:val="Heading1"/>
      </w:pPr>
      <w:r>
        <w:t>6. Требования к интерактивности</w:t>
      </w:r>
      <w:bookmarkStart w:name="_Toc006" w:id="7"/>
      <w:bookmarkEnd w:id="7"/>
    </w:p>
    <w:p>
      <w:pPr>
        <w:pStyle w:val="Heading2"/>
      </w:pPr>
      <w:r>
        <w:t>6.1 Drag-and-Drop</w:t>
      </w:r>
    </w:p>
    <w:p>
      <w:pPr>
        <w:numPr>
          <w:ilvl w:val="0"/>
          <w:numId w:val="1"/>
        </w:numPr>
      </w:pPr>
      <w:r>
        <w:t>Kanban-карточки перетаскиваются между колонками с визуальной обратной связью (полупрозрачная копия, подсветка целевой колонки)</w:t>
      </w:r>
    </w:p>
    <w:p>
      <w:pPr>
        <w:numPr>
          <w:ilvl w:val="0"/>
          <w:numId w:val="1"/>
        </w:numPr>
      </w:pPr>
      <w:r>
        <w:t>Файлы перетаскиваются в зону загрузки на детальной странице заявки</w:t>
      </w:r>
    </w:p>
    <w:p>
      <w:pPr>
        <w:numPr>
          <w:ilvl w:val="0"/>
          <w:numId w:val="1"/>
        </w:numPr>
      </w:pPr>
      <w:r>
        <w:t>Реализация через HTML5 Drag and Drop API или библиотеку @dnd-kit</w:t>
      </w:r>
    </w:p>
    <w:p>
      <w:pPr>
        <w:pStyle w:val="Heading2"/>
      </w:pPr>
      <w:r>
        <w:t>6.2 Фильтрация и сортировка</w:t>
      </w:r>
    </w:p>
    <w:p>
      <w:pPr>
        <w:numPr>
          <w:ilvl w:val="0"/>
          <w:numId w:val="1"/>
        </w:numPr>
      </w:pPr>
      <w:r>
        <w:t>Все таблицы поддерживают сортировку по клику на заголовок столбца (asc/desc/toggle)</w:t>
      </w:r>
    </w:p>
    <w:p>
      <w:pPr>
        <w:numPr>
          <w:ilvl w:val="0"/>
          <w:numId w:val="1"/>
        </w:numPr>
      </w:pPr>
      <w:r>
        <w:t>Фильтры применяются мгновенно (клиентская фильтрация на моковых данных)</w:t>
      </w:r>
    </w:p>
    <w:p>
      <w:pPr>
        <w:numPr>
          <w:ilvl w:val="0"/>
          <w:numId w:val="1"/>
        </w:numPr>
      </w:pPr>
      <w:r>
        <w:t>Состояние фильтров сохраняется в URL query parameters (для возможности шеринга)</w:t>
      </w:r>
    </w:p>
    <w:p>
      <w:pPr>
        <w:pStyle w:val="Heading2"/>
      </w:pPr>
      <w:r>
        <w:t>6.3 Навигация</w:t>
      </w:r>
    </w:p>
    <w:p>
      <w:pPr>
        <w:numPr>
          <w:ilvl w:val="0"/>
          <w:numId w:val="1"/>
        </w:numPr>
      </w:pPr>
      <w:r>
        <w:t>Клиентская маршрутизация (React Router) без перезагрузки страницы</w:t>
      </w:r>
    </w:p>
    <w:p>
      <w:pPr>
        <w:numPr>
          <w:ilvl w:val="0"/>
          <w:numId w:val="1"/>
        </w:numPr>
      </w:pPr>
      <w:r>
        <w:t>При переключении между экранами сохраняется состояние sidebar</w:t>
      </w:r>
    </w:p>
    <w:p>
      <w:pPr>
        <w:numPr>
          <w:ilvl w:val="0"/>
          <w:numId w:val="1"/>
        </w:numPr>
      </w:pPr>
      <w:r>
        <w:t>Кнопка "Назад" браузера корректно работает между всеми экранами</w:t>
      </w:r>
    </w:p>
    <w:p>
      <w:pPr>
        <w:numPr>
          <w:ilvl w:val="0"/>
          <w:numId w:val="1"/>
        </w:numPr>
      </w:pPr>
      <w:r>
        <w:t>Активный пункт sidebar подсвечивается оранжевым</w:t>
      </w:r>
    </w:p>
    <w:p>
      <w:pPr>
        <w:pStyle w:val="Heading1"/>
      </w:pPr>
      <w:r>
        <w:t>7. Моковые данные и заглушки</w:t>
      </w:r>
      <w:bookmarkStart w:name="_Toc007" w:id="8"/>
      <w:bookmarkEnd w:id="8"/>
    </w:p>
    <w:p>
      <w:pPr>
        <w:pStyle w:val="Heading2"/>
      </w:pPr>
      <w:r>
        <w:t>7.1 Моковые данные</w:t>
      </w:r>
    </w:p>
    <w:p>
      <w:r>
        <w:t>Все данные хранятся в статических JSON-файлах или TypeScript-константах. Backend-запросы эмулируются через setTimeout с имитацией задержки 200-500 мс.</w:t>
      </w:r>
    </w:p>
    <w:p>
      <w:pPr>
        <w:numPr>
          <w:ilvl w:val="0"/>
          <w:numId w:val="1"/>
        </w:numPr>
      </w:pPr>
      <w:r>
        <w:t>Минимум 7 заявок в Pipeline с различными статусами</w:t>
      </w:r>
    </w:p>
    <w:p>
      <w:pPr>
        <w:numPr>
          <w:ilvl w:val="0"/>
          <w:numId w:val="1"/>
        </w:numPr>
      </w:pPr>
      <w:r>
        <w:t>Минимум 5 поставщиков в таблице</w:t>
      </w:r>
    </w:p>
    <w:p>
      <w:pPr>
        <w:numPr>
          <w:ilvl w:val="0"/>
          <w:numId w:val="1"/>
        </w:numPr>
      </w:pPr>
      <w:r>
        <w:t>Минимум 3 менеджера с аватарами (использовать сервис генерации аватаров, например DiceBear или UI Avatars)</w:t>
      </w:r>
    </w:p>
    <w:p>
      <w:pPr>
        <w:numPr>
          <w:ilvl w:val="0"/>
          <w:numId w:val="1"/>
        </w:numPr>
      </w:pPr>
      <w:r>
        <w:t>Минимум 8 уведомлений разных типов</w:t>
      </w:r>
    </w:p>
    <w:p>
      <w:pPr>
        <w:numPr>
          <w:ilvl w:val="0"/>
          <w:numId w:val="1"/>
        </w:numPr>
      </w:pPr>
      <w:r>
        <w:t>Данные для воронки конверсии и KPI-карточек</w:t>
      </w:r>
    </w:p>
    <w:p>
      <w:pPr>
        <w:pStyle w:val="Heading2"/>
      </w:pPr>
      <w:r>
        <w:t>7.2 AI-заглушки</w:t>
      </w:r>
    </w:p>
    <w:p>
      <w:pPr>
        <w:numPr>
          <w:ilvl w:val="0"/>
          <w:numId w:val="1"/>
        </w:numPr>
      </w:pPr>
      <w:r>
        <w:t>Кнопка "Сгенерировать оффер (AI)" — при клике отображает skeleton loader (пульсирующие прямоугольники) в течение 2 секунд, затем показывает 3 заранее подготовленных варианта</w:t>
      </w:r>
    </w:p>
    <w:p>
      <w:pPr>
        <w:numPr>
          <w:ilvl w:val="0"/>
          <w:numId w:val="1"/>
        </w:numPr>
      </w:pPr>
      <w:r>
        <w:t>Поисковая строка — при вводе текста показывает dropdown с mock-результатами (без реального поиска)</w:t>
      </w:r>
    </w:p>
    <w:p>
      <w:pPr>
        <w:numPr>
          <w:ilvl w:val="0"/>
          <w:numId w:val="1"/>
        </w:numPr>
      </w:pPr>
      <w:r>
        <w:t>Все AI-функции должны иметь визуальную индикацию (иконка молнии, badge "AI", анимация загрузки)</w:t>
      </w:r>
    </w:p>
    <w:p>
      <w:pPr>
        <w:pStyle w:val="Heading2"/>
      </w:pPr>
      <w:r>
        <w:t>7.3 Backend-заглушки</w:t>
      </w:r>
    </w:p>
    <w:p>
      <w:pPr>
        <w:numPr>
          <w:ilvl w:val="0"/>
          <w:numId w:val="1"/>
        </w:numPr>
      </w:pPr>
      <w:r>
        <w:t>Все операции записи (создание, редактирование, удаление) показывают toast-уведомление об успехе и обновляют локальный state</w:t>
      </w:r>
    </w:p>
    <w:p>
      <w:pPr>
        <w:numPr>
          <w:ilvl w:val="0"/>
          <w:numId w:val="1"/>
        </w:numPr>
      </w:pPr>
      <w:r>
        <w:t>Функции отправки (email, WhatsApp, Telegram) показывают toast "Отправлено" без реальной отправки</w:t>
      </w:r>
    </w:p>
    <w:p>
      <w:pPr>
        <w:numPr>
          <w:ilvl w:val="0"/>
          <w:numId w:val="1"/>
        </w:numPr>
      </w:pPr>
      <w:r>
        <w:t>Файловая загрузка — принимает файлы через drag&amp;drop, отображает их в списке, не отправляет на сервер</w:t>
      </w:r>
    </w:p>
    <w:p>
      <w:pPr>
        <w:pStyle w:val="Heading1"/>
      </w:pPr>
      <w:r>
        <w:t>8. Нефункциональные требования</w:t>
      </w:r>
      <w:bookmarkStart w:name="_Toc008" w:id="9"/>
      <w:bookmarkEnd w:id="9"/>
    </w:p>
    <w:p>
      <w:pPr>
        <w:pStyle w:val="Heading2"/>
      </w:pPr>
      <w:r>
        <w:t>8.1 Производительность</w:t>
      </w:r>
    </w:p>
    <w:p>
      <w:pPr>
        <w:numPr>
          <w:ilvl w:val="0"/>
          <w:numId w:val="1"/>
        </w:numPr>
      </w:pPr>
      <w:r>
        <w:t>First Contentful Paint (FCP) &lt; 1.5 секунды</w:t>
      </w:r>
    </w:p>
    <w:p>
      <w:pPr>
        <w:numPr>
          <w:ilvl w:val="0"/>
          <w:numId w:val="1"/>
        </w:numPr>
      </w:pPr>
      <w:r>
        <w:t>Time to Interactive (TTI) &lt; 3 секунды</w:t>
      </w:r>
    </w:p>
    <w:p>
      <w:pPr>
        <w:numPr>
          <w:ilvl w:val="0"/>
          <w:numId w:val="1"/>
        </w:numPr>
      </w:pPr>
      <w:r>
        <w:t>Анимации и переходы работают с частотой 60fps</w:t>
      </w:r>
    </w:p>
    <w:p>
      <w:pPr>
        <w:pStyle w:val="Heading2"/>
      </w:pPr>
      <w:r>
        <w:t>8.2 Совместимость</w:t>
      </w:r>
    </w:p>
    <w:p>
      <w:pPr>
        <w:numPr>
          <w:ilvl w:val="0"/>
          <w:numId w:val="1"/>
        </w:numPr>
      </w:pPr>
      <w:r>
        <w:t>Chrome 100+, Firefox 100+, Safari 15+, Edge 100+</w:t>
      </w:r>
    </w:p>
    <w:p>
      <w:pPr>
        <w:numPr>
          <w:ilvl w:val="0"/>
          <w:numId w:val="1"/>
        </w:numPr>
      </w:pPr>
      <w:r>
        <w:t>Адаптивная вёрстка: desktop (1280px+), tablet (768-1279px — sidebar сворачивается)</w:t>
      </w:r>
    </w:p>
    <w:p>
      <w:pPr>
        <w:numPr>
          <w:ilvl w:val="0"/>
          <w:numId w:val="1"/>
        </w:numPr>
      </w:pPr>
      <w:r>
        <w:t>Mobile не является целевым разрешением, но интерфейс должен оставаться функциональным</w:t>
      </w:r>
    </w:p>
    <w:p>
      <w:pPr>
        <w:pStyle w:val="Heading2"/>
      </w:pPr>
      <w:r>
        <w:t>8.3 Технический стек</w:t>
      </w:r>
    </w:p>
    <w:tbl>
      <w:tblPr>
        <w:tblW w:w="5000" w:type="pct"/>
        <w:tblBorders>
          <w:top w:val="single" w:color="FF6A00" w:sz="8"/>
          <w:bottom w:val="single" w:color="FF6A00" w:sz="8"/>
          <w:insideH w:val="single" w:color="E5E7EB" w:sz="4"/>
        </w:tblBorders>
      </w:tblPr>
      <w:tblGrid>
        <w:gridCol w:w="2500"/>
        <w:gridCol w:w="3500"/>
        <w:gridCol w:w="4000"/>
      </w:tblGrid>
      <w:tr>
        <w:trPr>
          <w:tblHeader/>
        </w:trPr>
        <w:tc>
          <w:tcPr>
            <w:tcW w:w="2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Слой</w:t>
            </w:r>
          </w:p>
        </w:tc>
        <w:tc>
          <w:tcPr>
            <w:tcW w:w="35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Технология</w:t>
            </w:r>
          </w:p>
        </w:tc>
        <w:tc>
          <w:tcPr>
            <w:tcW w:w="4000" w:type="dxa"/>
            <w:shd w:val="clear" w:fill="F9FAFB"/>
          </w:tcPr>
          <w:p>
            <w:pPr>
              <w:spacing w:before="40" w:after="40"/>
              <w:jc w:val="left"/>
            </w:pPr>
            <w:r>
              <w:rPr>
                <w:b/>
                <w:color w:val="374151"/>
                <w:sz w:val="18"/>
              </w:rPr>
              <w:t>Назначение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Framework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React 18 + TypeScript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UI-фреймворк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Стилизация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Tailwind CSS v3 + shadcn/ui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Утилитарные стили, компоненты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Роутинг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React Router v6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Клиентская навигация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Диаграммы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Recharts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KPI, воронка, bar chart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Drag &amp; Drop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@dnd-kit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Kanban, file upload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Иконки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Lucide React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Все иконки интерфейса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Шрифт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Inter (Google Fonts)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4B5563"/>
                <w:sz w:val="18"/>
              </w:rPr>
              <w:t>Основная типографика</w:t>
            </w:r>
          </w:p>
        </w:tc>
      </w:tr>
    </w:tbl>
    <w:p>
      <w:pPr>
        <w:pStyle w:val="Heading2"/>
      </w:pPr>
      <w:r>
        <w:t>8.4 Требования к коду</w:t>
      </w:r>
    </w:p>
    <w:p>
      <w:pPr>
        <w:numPr>
          <w:ilvl w:val="0"/>
          <w:numId w:val="1"/>
        </w:numPr>
      </w:pPr>
      <w:r>
        <w:t>Компонентный подход: каждый UI-элемент — отдельный компонент</w:t>
      </w:r>
    </w:p>
    <w:p>
      <w:pPr>
        <w:numPr>
          <w:ilvl w:val="0"/>
          <w:numId w:val="1"/>
        </w:numPr>
      </w:pPr>
      <w:r>
        <w:t>Типизация: весь код на TypeScript, строгий режим (strict: true)</w:t>
      </w:r>
    </w:p>
    <w:p>
      <w:pPr>
        <w:numPr>
          <w:ilvl w:val="0"/>
          <w:numId w:val="1"/>
        </w:numPr>
      </w:pPr>
      <w:r>
        <w:t>Линтинг: ESLint с конфигурацией eslint-config-prettier</w:t>
      </w:r>
    </w:p>
    <w:p>
      <w:pPr>
        <w:numPr>
          <w:ilvl w:val="0"/>
          <w:numId w:val="1"/>
        </w:numPr>
      </w:pPr>
      <w:r>
        <w:t>Семантические CSS-токены в Tailwind config</w:t>
      </w:r>
    </w:p>
    <w:p>
      <w:pPr>
        <w:numPr>
          <w:ilvl w:val="0"/>
          <w:numId w:val="1"/>
        </w:numPr>
      </w:pPr>
      <w:r>
        <w:t>CSS-классы утилитарные (Tailwind), кастомные стили минимизированы</w:t>
      </w:r>
    </w:p>
    <w:p>
      <w:pPr>
        <w:sectPr>
          <w:headerReference w:type="default" r:id="R0e047bf97d2340b7"/>
          <w:footerReference w:type="default" r:id="R658ed6a058b145db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fc6631f765dd46c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FF6A00"/>
          <w:sz w:val="44"/>
        </w:rPr>
        <w:t>Sourcing Pipeline</w:t>
      </w:r>
    </w:p>
    <w:p>
      <w:pPr>
        <w:spacing w:before="400"/>
        <w:jc w:val="center"/>
      </w:pPr>
      <w:r>
        <w:rPr>
          <w:rFonts w:ascii="Calibri" w:hAnsi="Calibri" w:eastAsia="Microsoft YaHei"/>
          <w:color w:val="4B5563"/>
          <w:sz w:val="22"/>
        </w:rPr>
        <w:t>Внутренняя CRM для управления закупками</w:t>
      </w:r>
    </w:p>
    <w:p>
      <w:pPr>
        <w:spacing w:before="600"/>
        <w:jc w:val="center"/>
      </w:pPr>
      <w:r>
        <w:rPr>
          <w:rFonts w:ascii="Calibri" w:hAnsi="Calibri" w:eastAsia="Microsoft YaHei"/>
          <w:color w:val="6B7280"/>
          <w:sz w:val="18"/>
        </w:rPr>
        <w:t>Техническое задание  | 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6B7280"/>
        <w:sz w:val="18"/>
      </w:rPr>
      <w:fldChar w:fldCharType="begin"/>
    </w:r>
    <w:r>
      <w:rPr>
        <w:rFonts w:ascii="Calibri" w:hAnsi="Calibri" w:eastAsia="Microsoft YaHei"/>
        <w:color w:val="6B7280"/>
        <w:sz w:val="18"/>
      </w:rPr>
      <w:instrText xml:space="preserve"> PAGE </w:instrText>
    </w:r>
    <w:r>
      <w:rPr>
        <w:rFonts w:ascii="Calibri" w:hAnsi="Calibri" w:eastAsia="Microsoft YaHei"/>
        <w:color w:val="6B7280"/>
        <w:sz w:val="18"/>
      </w:rPr>
      <w:fldChar w:fldCharType="separate"/>
    </w:r>
    <w:r>
      <w:rPr>
        <w:rFonts w:ascii="Calibri" w:hAnsi="Calibri" w:eastAsia="Microsoft YaHei"/>
        <w:color w:val="6B7280"/>
        <w:sz w:val="18"/>
      </w:rPr>
      <w:t>1</w:t>
    </w:r>
    <w:r>
      <w:rPr>
        <w:rFonts w:ascii="Calibri" w:hAnsi="Calibri" w:eastAsia="Microsoft YaHei"/>
        <w:color w:val="6B7280"/>
        <w:sz w:val="18"/>
      </w:rPr>
      <w:fldChar w:fldCharType="end"/>
    </w:r>
    <w:r>
      <w:rPr>
        <w:rFonts w:ascii="Calibri" w:hAnsi="Calibri" w:eastAsia="Microsoft YaHei"/>
        <w:color w:val="6B7280"/>
        <w:sz w:val="18"/>
      </w:rPr>
      <w:t xml:space="preserve"> / </w:t>
    </w:r>
    <w:r>
      <w:rPr>
        <w:rFonts w:ascii="Calibri" w:hAnsi="Calibri" w:eastAsia="Microsoft YaHei"/>
        <w:color w:val="6B7280"/>
        <w:sz w:val="18"/>
      </w:rPr>
      <w:fldChar w:fldCharType="begin"/>
    </w:r>
    <w:r>
      <w:rPr>
        <w:rFonts w:ascii="Calibri" w:hAnsi="Calibri" w:eastAsia="Microsoft YaHei"/>
        <w:color w:val="6B7280"/>
        <w:sz w:val="18"/>
      </w:rPr>
      <w:instrText xml:space="preserve"> NUMPAGES </w:instrText>
    </w:r>
    <w:r>
      <w:rPr>
        <w:rFonts w:ascii="Calibri" w:hAnsi="Calibri" w:eastAsia="Microsoft YaHei"/>
        <w:color w:val="6B7280"/>
        <w:sz w:val="18"/>
      </w:rPr>
      <w:fldChar w:fldCharType="separate"/>
    </w:r>
    <w:r>
      <w:rPr>
        <w:rFonts w:ascii="Calibri" w:hAnsi="Calibri" w:eastAsia="Microsoft YaHei"/>
        <w:color w:val="6B7280"/>
        <w:sz w:val="18"/>
      </w:rPr>
      <w:t>1</w:t>
    </w:r>
    <w:r>
      <w:rPr>
        <w:rFonts w:ascii="Calibri" w:hAnsi="Calibri" w:eastAsia="Microsoft YaHei"/>
        <w:color w:val="6B7280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6B7280"/>
        <w:sz w:val="18"/>
      </w:rPr>
      <w:t>Sourcing Pipeline — Техническое задание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20" w:lineRule="auto"/>
    </w:pPr>
    <w:rPr>
      <w:rFonts w:ascii="Calibri" w:hAnsi="Calibri" w:eastAsia="Microsoft YaHei"/>
      <w:color w:val="374151"/>
      <w:sz w:val="22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rFonts w:ascii="Calibri" w:hAnsi="Calibri" w:eastAsia="Microsoft YaHei"/>
      <w:b/>
      <w:color w:val="FF6A00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374151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B5563"/>
      <w:sz w:val="24"/>
    </w:rPr>
  </w:style>
  <w:style w:type="paragraph" w:styleId="Caption">
    <w:name w:val="Caption"/>
    <w:basedOn w:val="Normal"/>
    <w:pPr>
      <w:spacing w:before="60" w:after="280"/>
      <w:jc w:val="center"/>
    </w:pPr>
    <w:rPr>
      <w:rFonts w:ascii="Calibri" w:hAnsi="Calibri" w:eastAsia="Microsoft YaHei"/>
      <w:color w:val="6B7280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rFonts w:ascii="Calibri" w:hAnsi="Calibri" w:eastAsia="Microsoft YaHei"/>
      <w:b/>
      <w:color w:val="374151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rFonts w:ascii="Calibri" w:hAnsi="Calibri" w:eastAsia="Microsoft YaHei"/>
      <w:color w:val="4B5563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dcc2e2fc98c49d0" /><Relationship Type="http://schemas.openxmlformats.org/officeDocument/2006/relationships/numbering" Target="numbering.xml" Id="R1dae5f83668e453c" /><Relationship Type="http://schemas.openxmlformats.org/officeDocument/2006/relationships/image" Target="media/image.png" Id="R522c042e31b547fc" /><Relationship Type="http://schemas.openxmlformats.org/officeDocument/2006/relationships/image" Target="media/image2.png" Id="Rfc6631f765dd46c0" /><Relationship Type="http://schemas.openxmlformats.org/officeDocument/2006/relationships/header" Target="header1.xml" Id="R0e047bf97d2340b7" /><Relationship Type="http://schemas.openxmlformats.org/officeDocument/2006/relationships/footer" Target="footer1.xml" Id="R658ed6a058b145db" /><Relationship Type="http://schemas.openxmlformats.org/officeDocument/2006/relationships/settings" Target="settings.xml" Id="Rdbccf87acbcc44bd" /></Relationships>
</file>