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6vybioxw1cc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Presentación (notebook EDA Promart)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56tnm822pjv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Objetivo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Analizar y depurar el dataset de productos de Promart Homecenter para evaluar su idoneidad en la construcción de representaciones semánticas que sirvan de base a un sistema experto de apoyo al comercio retail.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fvpa1ubh4x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Dataset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El análisis se realiza sobre un conjunto de datos que integra información de productos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productos.csv</w:t>
      </w:r>
      <w:r w:rsidDel="00000000" w:rsidR="00000000" w:rsidRPr="00000000">
        <w:rPr>
          <w:rtl w:val="0"/>
        </w:rPr>
        <w:t xml:space="preserve">), fichas técnicas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ficha.csv</w:t>
      </w:r>
      <w:r w:rsidDel="00000000" w:rsidR="00000000" w:rsidRPr="00000000">
        <w:rPr>
          <w:rtl w:val="0"/>
        </w:rPr>
        <w:t xml:space="preserve">), descripciones extendidas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descripcion.csv</w:t>
      </w:r>
      <w:r w:rsidDel="00000000" w:rsidR="00000000" w:rsidRPr="00000000">
        <w:rPr>
          <w:rtl w:val="0"/>
        </w:rPr>
        <w:t xml:space="preserve">) e imágenes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imagenes.csv</w:t>
      </w:r>
      <w:r w:rsidDel="00000000" w:rsidR="00000000" w:rsidRPr="00000000">
        <w:rPr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estudio busca determinar si las descripciones textuales (de las tablas mencionadas) contienen suficiente información coherente y relevante para generar embeddings semánticos que representen correctamente los productos dentro del dominio del comercio retail.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ofuneeh783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EDA – Análisis Exploratorio de Datos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el EDA se evaluaron aspectos de completitud, consistencia, sesgos y estructura del texto, además de aplicar un análisis TF-IDF para identificar los términos más representativos.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Gráficos presentados: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Distribución de productos por división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DES_DIV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La distribución por división muestra que: el 40 % de los productos pertenece a FERRETERIA, seguido por HOGAR Y DECO (24 %) y ACABADOS (20 %).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Esto significa que los modelos semánticos aprenderán más vocabulario y contexto de los productos de ferretería y acabados, porque aparecen con más frecuencia.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Esto puede sesgar la representación vectorial, haciendo que el sistema experto sea más preciso en esas divisiones y menos en las minoritarias.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Top 20 palabras más importantes mediante TF-IDF (ejemplo con SKU 165375).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4417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Se toma como ejemplo el producto identificado con el SKU 165375 para aplicar el análisis TF-IDF sobre sus diferentes descripciones textuales. El resultado revela la presencia de términos específicos como “pocket”, “queen”, “boxet”, “dormitorio” y “chocolate”, los cuales describen características propias del producto y sugieren su pertenencia a la categoría de ropa de cama o colchonería.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Asimismo, se observan términos de tipo contextual u operativo como “referenciales”, “imágenes”, “usuario” y “revisar”, que parecen corresponder a fragmentos informativos o etiquetas utilizadas en la gestión de fichas técnicas y no al contenido semántico principal.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En conjunto, el análisis muestra que las descripciones del producto contienen información semánticamente rica y relevante para representar el dominio del retail, aunque mezclada con texto auxiliar o administrativo. Se recomienda una limpieza adicional de este tipo de términos antes de generar los embeddings, con el fin de mejorar la coherencia y representatividad del espacio vectorial resultante.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Hallazgos principales: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Los campos textuales presentan una completitud superior al 99%, lo cual garantiza una base sólida para el análisis semántico.</w:t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619750" cy="337185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371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Existe una concentración marcada en las divisiones </w:t>
      </w:r>
      <w:r w:rsidDel="00000000" w:rsidR="00000000" w:rsidRPr="00000000">
        <w:rPr>
          <w:i w:val="1"/>
          <w:rtl w:val="0"/>
        </w:rPr>
        <w:t xml:space="preserve">Ferretería</w:t>
      </w:r>
      <w:r w:rsidDel="00000000" w:rsidR="00000000" w:rsidRPr="00000000">
        <w:rPr>
          <w:rtl w:val="0"/>
        </w:rPr>
        <w:t xml:space="preserve"> (40%) y </w:t>
      </w:r>
      <w:r w:rsidDel="00000000" w:rsidR="00000000" w:rsidRPr="00000000">
        <w:rPr>
          <w:i w:val="1"/>
          <w:rtl w:val="0"/>
        </w:rPr>
        <w:t xml:space="preserve">Hogar y Deco</w:t>
      </w:r>
      <w:r w:rsidDel="00000000" w:rsidR="00000000" w:rsidRPr="00000000">
        <w:rPr>
          <w:rtl w:val="0"/>
        </w:rPr>
        <w:t xml:space="preserve"> (24%), lo que indica un posible sesgo en la representación semántica.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886200" cy="24669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466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Riesgo identificado:</w:t>
        <w:br w:type="textWrapping"/>
      </w:r>
      <w:r w:rsidDel="00000000" w:rsidR="00000000" w:rsidRPr="00000000">
        <w:rPr>
          <w:rtl w:val="0"/>
        </w:rPr>
        <w:t xml:space="preserve"> El desbalance en la cantidad de productos por división puede generar un </w:t>
      </w:r>
      <w:r w:rsidDel="00000000" w:rsidR="00000000" w:rsidRPr="00000000">
        <w:rPr>
          <w:b w:val="1"/>
          <w:rtl w:val="0"/>
        </w:rPr>
        <w:t xml:space="preserve">sesgo semántico</w:t>
      </w:r>
      <w:r w:rsidDel="00000000" w:rsidR="00000000" w:rsidRPr="00000000">
        <w:rPr>
          <w:rtl w:val="0"/>
        </w:rPr>
        <w:t xml:space="preserve">, haciendo que los modelos sean más precisos en categorías dominantes (como Ferretería) y menos en aquellas con menor representación.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nhb2tpsy58y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Baseline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modelo base se compone de dos elementos principales: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All-MiniLM-L6-v2</w:t>
      </w:r>
      <w:r w:rsidDel="00000000" w:rsidR="00000000" w:rsidRPr="00000000">
        <w:rPr>
          <w:rtl w:val="0"/>
        </w:rPr>
        <w:t xml:space="preserve"> como generador de </w:t>
      </w:r>
      <w:r w:rsidDel="00000000" w:rsidR="00000000" w:rsidRPr="00000000">
        <w:rPr>
          <w:i w:val="1"/>
          <w:rtl w:val="0"/>
        </w:rPr>
        <w:t xml:space="preserve">embeddings semánticos</w:t>
      </w:r>
      <w:r w:rsidDel="00000000" w:rsidR="00000000" w:rsidRPr="00000000">
        <w:rPr>
          <w:rtl w:val="0"/>
        </w:rPr>
        <w:t xml:space="preserve">: convierte los textos de los productos en vectores numéricos que capturan su significado.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Phi-4-mini-instruct</w:t>
      </w:r>
      <w:r w:rsidDel="00000000" w:rsidR="00000000" w:rsidRPr="00000000">
        <w:rPr>
          <w:rtl w:val="0"/>
        </w:rPr>
        <w:t xml:space="preserve"> como modelo generativo: interpreta preguntas en lenguaje natural y produce respuestas usando el contexto recuperado con FAISS.</w:t>
        <w:br w:type="textWrapping"/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oz5yu5x81qrv" w:id="5"/>
      <w:bookmarkEnd w:id="5"/>
      <w:r w:rsidDel="00000000" w:rsidR="00000000" w:rsidRPr="00000000">
        <w:rPr>
          <w:color w:val="000000"/>
          <w:sz w:val="22"/>
          <w:szCs w:val="22"/>
          <w:rtl w:val="0"/>
        </w:rPr>
        <w:t xml:space="preserve">Usamos esta combinación por sus ventajas: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Es liviano y eficiente, permite generar representaciones semánticas de calidad sin requerir GPUs potentes.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 demostrado un buen equilibrio entre rendimiento y tamaño (≈80 MB).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Es ampliamente usado como referencia en tareas de </w:t>
      </w:r>
      <w:r w:rsidDel="00000000" w:rsidR="00000000" w:rsidRPr="00000000">
        <w:rPr>
          <w:i w:val="1"/>
          <w:rtl w:val="0"/>
        </w:rPr>
        <w:t xml:space="preserve">semantic retrieval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i w:val="1"/>
          <w:rtl w:val="0"/>
        </w:rPr>
        <w:t xml:space="preserve">question answering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Sirve como punto de partida reproducible y escalable para futuras mejoras (p. ej. BGE, E5 o Mistral-Instruct).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fbbrbbe8ghp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Resultados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e4efwhjqq6c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Métrica central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evaluó la </w:t>
      </w:r>
      <w:r w:rsidDel="00000000" w:rsidR="00000000" w:rsidRPr="00000000">
        <w:rPr>
          <w:b w:val="1"/>
          <w:rtl w:val="0"/>
        </w:rPr>
        <w:t xml:space="preserve">coherencia semántica</w:t>
      </w:r>
      <w:r w:rsidDel="00000000" w:rsidR="00000000" w:rsidRPr="00000000">
        <w:rPr>
          <w:rtl w:val="0"/>
        </w:rPr>
        <w:t xml:space="preserve"> entre consultas y respuestas generadas, midiendo si el modelo recupera correctamente la información relevante del catálogo.</w:t>
      </w:r>
    </w:p>
    <w:tbl>
      <w:tblPr>
        <w:tblStyle w:val="Table1"/>
        <w:tblW w:w="9029.0" w:type="dxa"/>
        <w:jc w:val="left"/>
        <w:tblBorders>
          <w:top w:color="434343" w:space="0" w:sz="4" w:val="single"/>
          <w:left w:color="434343" w:space="0" w:sz="4" w:val="single"/>
          <w:bottom w:color="434343" w:space="0" w:sz="4" w:val="single"/>
          <w:right w:color="434343" w:space="0" w:sz="4" w:val="single"/>
          <w:insideH w:color="434343" w:space="0" w:sz="4" w:val="single"/>
          <w:insideV w:color="434343" w:space="0" w:sz="4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Consulta del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Respuesta del modelo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Evaluación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¿De qué marca es el ovalín?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ovalín es de la marca Orange.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Correcta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¿Cuál es la procedencia del ovalín?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Importado.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Correcta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¿El ovalín es circular o cuadrado?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Circular.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Correcta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¿Cuál es el precio del ovalín?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79.9 soles.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Correcta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¿De que área es el ovalín?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Es un tipo de vidrio.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Incorrecto</w:t>
            </w:r>
          </w:p>
        </w:tc>
      </w:tr>
    </w:tbl>
    <w:p w:rsidR="00000000" w:rsidDel="00000000" w:rsidP="00000000" w:rsidRDefault="00000000" w:rsidRPr="00000000" w14:paraId="0000003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Tasa de coherencia semántica estimada: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4/5 respuestas correctas → </w:t>
      </w:r>
      <w:r w:rsidDel="00000000" w:rsidR="00000000" w:rsidRPr="00000000">
        <w:rPr>
          <w:b w:val="1"/>
          <w:rtl w:val="0"/>
        </w:rPr>
        <w:t xml:space="preserve">80 % en prueba de muestra.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ligero descenso en precisión se debe a que, en el contexto analizado —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i w:val="1"/>
          <w:rtl w:val="0"/>
        </w:rPr>
        <w:t xml:space="preserve">"ovalín circular para sobreponer vidrio transparente de la marca Orange del área de baños para los sanitarios de la línea ovalines de procedencia importado al precio de 79.9 soles"</w:t>
      </w:r>
      <w:r w:rsidDel="00000000" w:rsidR="00000000" w:rsidRPr="00000000">
        <w:rPr>
          <w:rtl w:val="0"/>
        </w:rPr>
        <w:t xml:space="preserve"> —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menciona explícitamente el </w:t>
      </w:r>
      <w:r w:rsidDel="00000000" w:rsidR="00000000" w:rsidRPr="00000000">
        <w:rPr>
          <w:b w:val="1"/>
          <w:rtl w:val="0"/>
        </w:rPr>
        <w:t xml:space="preserve">campo de área</w:t>
      </w:r>
      <w:r w:rsidDel="00000000" w:rsidR="00000000" w:rsidRPr="00000000">
        <w:rPr>
          <w:rtl w:val="0"/>
        </w:rPr>
        <w:t xml:space="preserve">, lo que limita la capacidad del modelo para inferir esa respuesta correctamente.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Aun así, las demás respuestas reflejan una comprensión semántica sólida del texto.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m3eojl2snv2" w:id="8"/>
      <w:bookmarkEnd w:id="8"/>
      <w:r w:rsidDel="00000000" w:rsidR="00000000" w:rsidRPr="00000000">
        <w:rPr>
          <w:b w:val="1"/>
          <w:sz w:val="26"/>
          <w:szCs w:val="26"/>
          <w:rtl w:val="0"/>
        </w:rPr>
        <w:t xml:space="preserve">5. Reproducibilidad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Rutas principales: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/data/raw/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archivos originales.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/data/processed/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corpus limpio para embeddings.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/modelos/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modelos descargados (All-MiniLM-L6-v2, Phi-4-mini-instruct).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/embeddings/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vectores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.npy</w:t>
      </w:r>
      <w:r w:rsidDel="00000000" w:rsidR="00000000" w:rsidRPr="00000000">
        <w:rPr>
          <w:rtl w:val="0"/>
        </w:rPr>
        <w:t xml:space="preserve"> generados.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Control de versiones y logs:</w:t>
        <w:br w:type="textWrapping"/>
      </w:r>
      <w:r w:rsidDel="00000000" w:rsidR="00000000" w:rsidRPr="00000000">
        <w:rPr>
          <w:rtl w:val="0"/>
        </w:rPr>
        <w:t xml:space="preserve"> Cada etapa registra eventos 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/logs/01_EDA.log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garantizando trazabilidad.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Ejecución reproducible:</w:t>
        <w:br w:type="textWrapping"/>
      </w:r>
      <w:r w:rsidDel="00000000" w:rsidR="00000000" w:rsidRPr="00000000">
        <w:rPr>
          <w:rtl w:val="0"/>
        </w:rPr>
        <w:t xml:space="preserve">Todo el flujo puede replicarse en Google Colab montando el mismo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Drive</w:t>
      </w:r>
      <w:r w:rsidDel="00000000" w:rsidR="00000000" w:rsidRPr="00000000">
        <w:rPr>
          <w:rtl w:val="0"/>
        </w:rPr>
        <w:t xml:space="preserve"> y ejecutando los notebooks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EDA_v1.ipynb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04_BASELINE_SERVER.ipynb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sz w:val="26"/>
          <w:szCs w:val="26"/>
        </w:rPr>
      </w:pPr>
      <w:bookmarkStart w:colFirst="0" w:colLast="0" w:name="_giaxt240lxss" w:id="9"/>
      <w:bookmarkEnd w:id="9"/>
      <w:r w:rsidDel="00000000" w:rsidR="00000000" w:rsidRPr="00000000">
        <w:rPr>
          <w:b w:val="1"/>
          <w:sz w:val="26"/>
          <w:szCs w:val="26"/>
          <w:rtl w:val="0"/>
        </w:rPr>
        <w:t xml:space="preserve">6. Próximos pasos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Limpieza semántica avanzada:</w:t>
      </w:r>
      <w:r w:rsidDel="00000000" w:rsidR="00000000" w:rsidRPr="00000000">
        <w:rPr>
          <w:rtl w:val="0"/>
        </w:rPr>
        <w:t xml:space="preserve"> eliminar texto auxiliar o etiquetas web en los chunks antes de generar embeddings.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Conversión temporal y análisis cronológico:</w:t>
      </w:r>
      <w:r w:rsidDel="00000000" w:rsidR="00000000" w:rsidRPr="00000000">
        <w:rPr>
          <w:rtl w:val="0"/>
        </w:rPr>
        <w:t xml:space="preserve"> transformar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FEC_CRE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FEC_MOD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datetime</w:t>
      </w:r>
      <w:r w:rsidDel="00000000" w:rsidR="00000000" w:rsidRPr="00000000">
        <w:rPr>
          <w:rtl w:val="0"/>
        </w:rPr>
        <w:t xml:space="preserve"> para estudiar la evolución de descripciones y actualizaciones de catálogo.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Validación cuantitativa:</w:t>
      </w:r>
      <w:r w:rsidDel="00000000" w:rsidR="00000000" w:rsidRPr="00000000">
        <w:rPr>
          <w:rtl w:val="0"/>
        </w:rPr>
        <w:t xml:space="preserve"> incorporar métricas automáticas de similitud (cosine, nDCG) y retroalimentación manual.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Ampliar el modelo:</w:t>
      </w:r>
      <w:r w:rsidDel="00000000" w:rsidR="00000000" w:rsidRPr="00000000">
        <w:rPr>
          <w:rtl w:val="0"/>
        </w:rPr>
        <w:t xml:space="preserve"> probar versiones multilingües y modelos más robustos (BGE, E5, Mistral-Instruct) para mejorar precisión y cobertura semántica.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