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MASTER VENDOR DOSSIER</w:t>
        <w:br/>
        <w:br/>
        <w:t>Next-Generation Enterprise</w:t>
        <w:br/>
        <w:t>University Management System</w:t>
        <w:br/>
      </w:r>
    </w:p>
    <w:p>
      <w:pPr>
        <w:jc w:val="center"/>
      </w:pPr>
      <w:r>
        <w:rPr>
          <w:sz w:val="28"/>
        </w:rPr>
        <w:t>Prepared Exclusively For:</w:t>
        <w:br/>
        <w:t>K.S.R.M. College of Engineering (Autonomous)</w:t>
        <w:br/>
        <w:br/>
        <w:t>Prepared By:</w:t>
        <w:br/>
        <w:t>Andluru Sai Punith Reddy</w:t>
        <w:br/>
        <w:t>Lead Enterprise Architect</w:t>
        <w:br/>
        <w:br/>
        <w:t>Date: June 9, 2026</w:t>
      </w:r>
    </w:p>
    <w:p>
      <w:r>
        <w:br w:type="page"/>
      </w:r>
    </w:p>
    <w:p>
      <w:pPr>
        <w:pStyle w:val="Heading1"/>
      </w:pPr>
      <w:r>
        <w:t>1. Executive Commercial Proposal</w:t>
      </w:r>
    </w:p>
    <w:p>
      <w:r>
        <w:t>K.S.R.M. College of Engineering requires a digital infrastructure that matches its autonomous prestige. Legacy, fragmented systems create severe operational bottlenecks, risk DPDP Act 2023 compliance violations, and jeopardize NAAC accreditation scoring. We propose a customized, Zero-Trust Next-Generation University Management System (UMS), engineered specifically for the Kadapa campus.</w:t>
      </w:r>
    </w:p>
    <w:p>
      <w:pPr>
        <w:pStyle w:val="Heading2"/>
      </w:pPr>
      <w:r>
        <w:t>1.1 The KSRM Digital Asset (Core Modules)</w:t>
      </w:r>
    </w:p>
    <w:p>
      <w:pPr>
        <w:pStyle w:val="ListBullet"/>
      </w:pPr>
      <w:r>
        <w:rPr>
          <w:b/>
        </w:rPr>
        <w:t xml:space="preserve">Controller of Exams (EMS): </w:t>
      </w:r>
      <w:r>
        <w:t>Automated SGPA calculation, instant hall ticket generation, and tamper-proof grading ledgers.</w:t>
      </w:r>
    </w:p>
    <w:p>
      <w:pPr>
        <w:pStyle w:val="ListBullet"/>
      </w:pPr>
      <w:r>
        <w:rPr>
          <w:b/>
        </w:rPr>
        <w:t xml:space="preserve">Zero-Trust Security &amp; RBAC: </w:t>
      </w:r>
      <w:r>
        <w:t>Multi-factor authentication via OTP and edge-middleware session enforcement.</w:t>
      </w:r>
    </w:p>
    <w:p>
      <w:pPr>
        <w:pStyle w:val="ListBullet"/>
      </w:pPr>
      <w:r>
        <w:rPr>
          <w:b/>
        </w:rPr>
        <w:t xml:space="preserve">Automated Finance Sync: </w:t>
      </w:r>
      <w:r>
        <w:t>Direct integration from student payment gateways (Razorpay) to Tally ERP via XML.</w:t>
      </w:r>
    </w:p>
    <w:p>
      <w:pPr>
        <w:pStyle w:val="ListBullet"/>
      </w:pPr>
      <w:r>
        <w:rPr>
          <w:b/>
        </w:rPr>
        <w:t xml:space="preserve">NAAC Disciplinary Engine: </w:t>
      </w:r>
      <w:r>
        <w:t>Immutable, time-stamped audit trails for faculty-to-student disciplinary actions.</w:t>
      </w:r>
    </w:p>
    <w:p>
      <w:pPr>
        <w:pStyle w:val="Heading2"/>
      </w:pPr>
      <w:r>
        <w:t>1.2 Financial Investment: 5-Year Total Cost of Ownership (TCO)</w:t>
      </w:r>
    </w:p>
    <w:tbl>
      <w:tblPr>
        <w:tblStyle w:val="TableGrid"/>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Description</w:t>
            </w:r>
          </w:p>
        </w:tc>
        <w:tc>
          <w:tcPr>
            <w:tcW w:type="dxa" w:w="2880"/>
          </w:tcPr>
          <w:p>
            <w:r>
              <w:t>Investment Value (INR)</w:t>
            </w:r>
          </w:p>
        </w:tc>
      </w:tr>
      <w:tr>
        <w:tc>
          <w:tcPr>
            <w:tcW w:type="dxa" w:w="2880"/>
          </w:tcPr>
          <w:p>
            <w:r>
              <w:t>Year 1 (CapEx)</w:t>
            </w:r>
          </w:p>
        </w:tc>
        <w:tc>
          <w:tcPr>
            <w:tcW w:type="dxa" w:w="2880"/>
          </w:tcPr>
          <w:p>
            <w:r>
              <w:t>Core IP License, Deployment &amp; Migration (One-Time Setup)</w:t>
            </w:r>
          </w:p>
        </w:tc>
        <w:tc>
          <w:tcPr>
            <w:tcW w:type="dxa" w:w="2880"/>
          </w:tcPr>
          <w:p>
            <w:r>
              <w:t>₹24,00,000</w:t>
            </w:r>
          </w:p>
        </w:tc>
      </w:tr>
      <w:tr>
        <w:tc>
          <w:tcPr>
            <w:tcW w:type="dxa" w:w="2880"/>
          </w:tcPr>
          <w:p>
            <w:r>
              <w:t>Years 2-5 (OpEx)</w:t>
            </w:r>
          </w:p>
        </w:tc>
        <w:tc>
          <w:tcPr>
            <w:tcW w:type="dxa" w:w="2880"/>
          </w:tcPr>
          <w:p>
            <w:r>
              <w:t>Premium Managed Cloud &amp; Security SLA (Recurring Annually)</w:t>
            </w:r>
          </w:p>
        </w:tc>
        <w:tc>
          <w:tcPr>
            <w:tcW w:type="dxa" w:w="2880"/>
          </w:tcPr>
          <w:p>
            <w:r>
              <w:t>₹6,50,000 / Year</w:t>
            </w:r>
          </w:p>
        </w:tc>
      </w:tr>
      <w:tr>
        <w:tc>
          <w:tcPr>
            <w:tcW w:type="dxa" w:w="2880"/>
          </w:tcPr>
          <w:p>
            <w:r>
              <w:t>5-Year TCV</w:t>
            </w:r>
          </w:p>
        </w:tc>
        <w:tc>
          <w:tcPr>
            <w:tcW w:type="dxa" w:w="2880"/>
          </w:tcPr>
          <w:p>
            <w:r>
              <w:t>Total Contract Value</w:t>
            </w:r>
          </w:p>
        </w:tc>
        <w:tc>
          <w:tcPr>
            <w:tcW w:type="dxa" w:w="2880"/>
          </w:tcPr>
          <w:p>
            <w:r>
              <w:t>₹50,00,000</w:t>
            </w:r>
          </w:p>
        </w:tc>
      </w:tr>
    </w:tbl>
    <w:p>
      <w:r>
        <w:br w:type="page"/>
      </w:r>
    </w:p>
    <w:p>
      <w:pPr>
        <w:pStyle w:val="Heading1"/>
      </w:pPr>
      <w:r>
        <w:t>2. Master Services Agreement (MSA)</w:t>
      </w:r>
    </w:p>
    <w:p>
      <w:r>
        <w:t>This Master Services Agreement ('Agreement') is entered into as of the Effective Date by and between the Provider ('Agency') and K.S.R.M. College of Engineering ('Client').</w:t>
      </w:r>
    </w:p>
    <w:p>
      <w:pPr>
        <w:pStyle w:val="Heading2"/>
      </w:pPr>
      <w:r>
        <w:t>2.1 Term of Agreement</w:t>
      </w:r>
    </w:p>
    <w:p>
      <w:r>
        <w:t>This Agreement shall commence on the Effective Date and shall remain in full force for an initial fixed term of five (5) academic years. Upon expiration, this Agreement may be renewed upon mutual written consent.</w:t>
      </w:r>
    </w:p>
    <w:p>
      <w:pPr>
        <w:pStyle w:val="Heading2"/>
      </w:pPr>
      <w:r>
        <w:t>2.2 License &amp; Cloud Architecture</w:t>
      </w:r>
    </w:p>
    <w:p>
      <w:r>
        <w:t>The UMS is provided as a fully managed Software-as-a-Service (SaaS). To guarantee security and scalability, the application will be hosted exclusively on the Provider's cloud architecture (Vercel Edge Network and secure PostgreSQL clusters via Supabase). The Client holds total ownership of all generated institutional data.</w:t>
      </w:r>
    </w:p>
    <w:p>
      <w:pPr>
        <w:pStyle w:val="Heading2"/>
      </w:pPr>
      <w:r>
        <w:t>2.3 Payment Schedule (Year 1 CapEx)</w:t>
      </w:r>
    </w:p>
    <w:p>
      <w:r>
        <w:t>The Year 1 deployment fee of ₹24,00,000 shall be invoiced according to the following milestone schedule:</w:t>
      </w:r>
    </w:p>
    <w:p>
      <w:pPr>
        <w:pStyle w:val="ListBullet"/>
      </w:pPr>
      <w:r>
        <w:t>• 30% (₹7,20,000): Upon contract execution and commencement of legacy data extraction.</w:t>
      </w:r>
    </w:p>
    <w:p>
      <w:pPr>
        <w:pStyle w:val="ListBullet"/>
      </w:pPr>
      <w:r>
        <w:t>• 40% (₹9,60,000): Upon successful User Acceptance Testing (UAT) of the EMS and Finance modules.</w:t>
      </w:r>
    </w:p>
    <w:p>
      <w:pPr>
        <w:pStyle w:val="ListBullet"/>
      </w:pPr>
      <w:r>
        <w:t>• 30% (₹7,20,000): Upon official campus-wide 'Go-Live' and completion of administrative staff training.</w:t>
      </w:r>
    </w:p>
    <w:p>
      <w:pPr>
        <w:pStyle w:val="Heading2"/>
      </w:pPr>
      <w:r>
        <w:t>2.4 Annual Managed SLA (OpEx)</w:t>
      </w:r>
    </w:p>
    <w:p>
      <w:r>
        <w:t>Commencing on the first anniversary of the 'Go-Live' date, the Client shall be invoiced the Annual Managed SLA fee of ₹6,50,000. Payment of this fee is mandatory to maintain active cloud hosting, critical security patching, DPDP 2023 compliance updates, and continuous technical support.</w:t>
      </w:r>
    </w:p>
    <w:p>
      <w:pPr>
        <w:pStyle w:val="Heading2"/>
      </w:pPr>
      <w:r>
        <w:t>2.5 Signatures</w:t>
      </w:r>
    </w:p>
    <w:p>
      <w:r>
        <w:br/>
        <w:t>For K.S.R.M. College of Engineering:</w:t>
        <w:br/>
        <w:t>___________________________________________________</w:t>
        <w:br/>
        <w:t>Name / Title</w:t>
        <w:br/>
        <w:t>Date:</w:t>
        <w:br/>
        <w:br/>
        <w:br/>
        <w:t>For the Provider:</w:t>
        <w:br/>
        <w:t>___________________________________________________</w:t>
        <w:br/>
        <w:t>Andluru Sai Punith Reddy</w:t>
        <w:br/>
        <w:t>Lead Enterprise Architect</w:t>
        <w:br/>
        <w:t>Date:</w:t>
      </w:r>
    </w:p>
    <w:p>
      <w:r>
        <w:br w:type="page"/>
      </w:r>
    </w:p>
    <w:p>
      <w:pPr>
        <w:pStyle w:val="Heading1"/>
      </w:pPr>
      <w:r>
        <w:t>3. Enterprise Service Level Agreement (SLA)</w:t>
      </w:r>
    </w:p>
    <w:p>
      <w:r>
        <w:t>This document outlines the guaranteed service levels, disaster recovery protocols, and support response times provided to K.S.R.M. College of Engineering under the active Managed SLA contract.</w:t>
      </w:r>
    </w:p>
    <w:p>
      <w:pPr>
        <w:pStyle w:val="Heading2"/>
      </w:pPr>
      <w:r>
        <w:t>3.1 High-Availability Infrastructure</w:t>
      </w:r>
    </w:p>
    <w:p>
      <w:r>
        <w:t>The system leverages Next.js Edge-network content delivery and Supabase PgBouncer connection pooling. The Provider guarantees a 99.9% Application Uptime during standard academic months. The serverless architecture scales automatically to handle 10,000+ concurrent requests during peak events (e.g., Results Day).</w:t>
      </w:r>
    </w:p>
    <w:p>
      <w:pPr>
        <w:pStyle w:val="Heading2"/>
      </w:pPr>
      <w:r>
        <w:t>3.2 Data Security &amp; Disaster Recovery</w:t>
      </w:r>
    </w:p>
    <w:p>
      <w:pPr>
        <w:pStyle w:val="ListBullet"/>
      </w:pPr>
      <w:r>
        <w:t>• Encryption: All data is encrypted at rest (AES-256) and in transit (TLS 1.3).</w:t>
      </w:r>
    </w:p>
    <w:p>
      <w:pPr>
        <w:pStyle w:val="ListBullet"/>
      </w:pPr>
      <w:r>
        <w:t>• Automated Backups: Redundant database snapshots are executed every six (6) hours and retained for 30 days.</w:t>
      </w:r>
    </w:p>
    <w:p>
      <w:pPr>
        <w:pStyle w:val="ListBullet"/>
      </w:pPr>
      <w:r>
        <w:t>• RTO (Recovery Time Objective): Guaranteed restoration from the latest snapshot within 4 hours in the event of catastrophic failure.</w:t>
      </w:r>
    </w:p>
    <w:p>
      <w:pPr>
        <w:pStyle w:val="Heading2"/>
      </w:pPr>
      <w:r>
        <w:t>3.3 Incident Response Matrix</w:t>
      </w:r>
    </w:p>
    <w:p>
      <w:r>
        <w:t>Support tickets raised by authorized KSRM Administrators will be resolved under the following strict timeframes during business hours:</w:t>
      </w:r>
    </w:p>
    <w:tbl>
      <w:tblPr>
        <w:tblStyle w:val="TableGrid"/>
        <w:tblW w:type="auto" w:w="0"/>
        <w:tblLook w:firstColumn="1" w:firstRow="1" w:lastColumn="0" w:lastRow="0" w:noHBand="0" w:noVBand="1" w:val="04A0"/>
      </w:tblPr>
      <w:tblGrid>
        <w:gridCol w:w="2880"/>
        <w:gridCol w:w="2880"/>
        <w:gridCol w:w="2880"/>
      </w:tblGrid>
      <w:tr>
        <w:tc>
          <w:tcPr>
            <w:tcW w:type="dxa" w:w="2880"/>
          </w:tcPr>
          <w:p>
            <w:r>
              <w:t>Priority Level</w:t>
            </w:r>
          </w:p>
        </w:tc>
        <w:tc>
          <w:tcPr>
            <w:tcW w:type="dxa" w:w="2880"/>
          </w:tcPr>
          <w:p>
            <w:r>
              <w:t>Description</w:t>
            </w:r>
          </w:p>
        </w:tc>
        <w:tc>
          <w:tcPr>
            <w:tcW w:type="dxa" w:w="2880"/>
          </w:tcPr>
          <w:p>
            <w:r>
              <w:t>Response Time</w:t>
            </w:r>
          </w:p>
        </w:tc>
      </w:tr>
      <w:tr>
        <w:tc>
          <w:tcPr>
            <w:tcW w:type="dxa" w:w="2880"/>
          </w:tcPr>
          <w:p>
            <w:r>
              <w:t>Severity 1 (Critical)</w:t>
            </w:r>
          </w:p>
        </w:tc>
        <w:tc>
          <w:tcPr>
            <w:tcW w:type="dxa" w:w="2880"/>
          </w:tcPr>
          <w:p>
            <w:r>
              <w:t>System outage on Exam/Results Day.</w:t>
            </w:r>
          </w:p>
        </w:tc>
        <w:tc>
          <w:tcPr>
            <w:tcW w:type="dxa" w:w="2880"/>
          </w:tcPr>
          <w:p>
            <w:r>
              <w:t>&lt; 2 Hours</w:t>
            </w:r>
          </w:p>
        </w:tc>
      </w:tr>
      <w:tr>
        <w:tc>
          <w:tcPr>
            <w:tcW w:type="dxa" w:w="2880"/>
          </w:tcPr>
          <w:p>
            <w:r>
              <w:t>Severity 2 (High)</w:t>
            </w:r>
          </w:p>
        </w:tc>
        <w:tc>
          <w:tcPr>
            <w:tcW w:type="dxa" w:w="2880"/>
          </w:tcPr>
          <w:p>
            <w:r>
              <w:t>Major module failure (e.g., Razorpay/Tally sync issue).</w:t>
            </w:r>
          </w:p>
        </w:tc>
        <w:tc>
          <w:tcPr>
            <w:tcW w:type="dxa" w:w="2880"/>
          </w:tcPr>
          <w:p>
            <w:r>
              <w:t>&lt; 4 Hours</w:t>
            </w:r>
          </w:p>
        </w:tc>
      </w:tr>
      <w:tr>
        <w:tc>
          <w:tcPr>
            <w:tcW w:type="dxa" w:w="2880"/>
          </w:tcPr>
          <w:p>
            <w:r>
              <w:t>Severity 3 (Standard)</w:t>
            </w:r>
          </w:p>
        </w:tc>
        <w:tc>
          <w:tcPr>
            <w:tcW w:type="dxa" w:w="2880"/>
          </w:tcPr>
          <w:p>
            <w:r>
              <w:t>UI bugs, reporting tweaks, minor portal issues.</w:t>
            </w:r>
          </w:p>
        </w:tc>
        <w:tc>
          <w:tcPr>
            <w:tcW w:type="dxa" w:w="2880"/>
          </w:tcPr>
          <w:p>
            <w:r>
              <w:t>&lt; 24 Hours</w:t>
            </w:r>
          </w:p>
        </w:tc>
      </w:tr>
    </w:tbl>
    <w:p>
      <w:r>
        <w:br/>
        <w:br/>
        <w:br/>
        <w:t>Acknowledged by KSRM IT Dept:</w:t>
        <w:br/>
        <w:t>___________________________________________________</w:t>
        <w:br/>
        <w:t>Name / Title</w:t>
        <w:b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