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1732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Estándares de Visualización en Power BI</w:t>
      </w:r>
    </w:p>
    <w:p w14:paraId="1D4ED612" w14:textId="77777777" w:rsidR="00470FA3" w:rsidRPr="00470FA3" w:rsidRDefault="00470FA3" w:rsidP="00470FA3">
      <w:pPr>
        <w:rPr>
          <w:lang w:val="es-EC"/>
        </w:rPr>
      </w:pPr>
      <w:r w:rsidRPr="00470FA3">
        <w:rPr>
          <w:b/>
          <w:bCs/>
          <w:lang w:val="es-EC"/>
        </w:rPr>
        <w:t>Guía Metodológica, Visual y de Identidad del Área</w:t>
      </w:r>
      <w:r w:rsidRPr="00470FA3">
        <w:rPr>
          <w:lang w:val="es-EC"/>
        </w:rPr>
        <w:br/>
        <w:t>Área de Inteligencia de Negocios</w:t>
      </w:r>
    </w:p>
    <w:p w14:paraId="74774295" w14:textId="77777777" w:rsidR="00470FA3" w:rsidRPr="00470FA3" w:rsidRDefault="00470FA3" w:rsidP="00470FA3">
      <w:r w:rsidRPr="00470FA3">
        <w:pict w14:anchorId="0CB1D304">
          <v:rect id="_x0000_i1097" style="width:0;height:1.5pt" o:hralign="center" o:hrstd="t" o:hr="t" fillcolor="#a0a0a0" stroked="f"/>
        </w:pict>
      </w:r>
    </w:p>
    <w:p w14:paraId="1E424A5D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1. Introducción</w:t>
      </w:r>
    </w:p>
    <w:p w14:paraId="702B8B8D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 xml:space="preserve">En organizaciones orientadas a datos, los dashboards se han convertido en uno de los principales mecanismos para comunicar información, monitorear indicadores y apoyar la toma de decisiones. Sin embargo, la efectividad de un dashboard no depende únicamente de la calidad de los datos, sino de </w:t>
      </w:r>
      <w:r w:rsidRPr="00470FA3">
        <w:rPr>
          <w:b/>
          <w:bCs/>
          <w:lang w:val="es-EC"/>
        </w:rPr>
        <w:t>cómo estos son presentados y comunicados</w:t>
      </w:r>
      <w:r w:rsidRPr="00470FA3">
        <w:rPr>
          <w:lang w:val="es-EC"/>
        </w:rPr>
        <w:t>.</w:t>
      </w:r>
    </w:p>
    <w:p w14:paraId="5195A226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>La visualización de datos integra principios de diseño, experiencia de usuario (UX) y storytelling con datos. Cuando estos principios no se aplican de forma consistente, se generan productos analíticos con mensajes poco claros, baja adopción y mayor esfuerzo cognitivo para el usuario.</w:t>
      </w:r>
    </w:p>
    <w:p w14:paraId="747A6471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 xml:space="preserve">Con el objetivo de fortalecer la claridad, consistencia e identidad visual, el Área de Inteligencia de Negocios define el presente </w:t>
      </w:r>
      <w:r w:rsidRPr="00470FA3">
        <w:rPr>
          <w:b/>
          <w:bCs/>
          <w:lang w:val="es-EC"/>
        </w:rPr>
        <w:t>estándar de visualización en Power BI</w:t>
      </w:r>
      <w:r w:rsidRPr="00470FA3">
        <w:rPr>
          <w:lang w:val="es-EC"/>
        </w:rPr>
        <w:t>, que establece un marco común para el diseño, construcción y despliegue de dashboards institucionales.</w:t>
      </w:r>
    </w:p>
    <w:p w14:paraId="166C3EAF" w14:textId="77777777" w:rsidR="00470FA3" w:rsidRPr="00470FA3" w:rsidRDefault="00470FA3" w:rsidP="00470FA3">
      <w:r w:rsidRPr="00470FA3">
        <w:pict w14:anchorId="1CF8F80D">
          <v:rect id="_x0000_i1098" style="width:0;height:1.5pt" o:hralign="center" o:hrstd="t" o:hr="t" fillcolor="#a0a0a0" stroked="f"/>
        </w:pict>
      </w:r>
    </w:p>
    <w:p w14:paraId="51AD8E53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2. Situación actual y problemática identificada</w:t>
      </w:r>
    </w:p>
    <w:p w14:paraId="0A39DC53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>Antes de la definición del estándar, los dashboards se desarrollaban bajo criterios individuales, lo que generaba:</w:t>
      </w:r>
    </w:p>
    <w:p w14:paraId="68C60B48" w14:textId="77777777" w:rsidR="00470FA3" w:rsidRPr="00470FA3" w:rsidRDefault="00470FA3" w:rsidP="00470FA3">
      <w:pPr>
        <w:numPr>
          <w:ilvl w:val="0"/>
          <w:numId w:val="1"/>
        </w:numPr>
        <w:rPr>
          <w:lang w:val="es-EC"/>
        </w:rPr>
      </w:pPr>
      <w:r w:rsidRPr="00470FA3">
        <w:rPr>
          <w:lang w:val="es-EC"/>
        </w:rPr>
        <w:t>Inconsistencias en tipografías, colores y tamaños de texto</w:t>
      </w:r>
    </w:p>
    <w:p w14:paraId="10ABACAA" w14:textId="77777777" w:rsidR="00470FA3" w:rsidRPr="00470FA3" w:rsidRDefault="00470FA3" w:rsidP="00470FA3">
      <w:pPr>
        <w:numPr>
          <w:ilvl w:val="0"/>
          <w:numId w:val="1"/>
        </w:numPr>
        <w:rPr>
          <w:lang w:val="es-EC"/>
        </w:rPr>
      </w:pPr>
      <w:r w:rsidRPr="00470FA3">
        <w:rPr>
          <w:lang w:val="es-EC"/>
        </w:rPr>
        <w:t>Diferentes estructuras de lienzo y navegación</w:t>
      </w:r>
    </w:p>
    <w:p w14:paraId="250BB1A1" w14:textId="77777777" w:rsidR="00470FA3" w:rsidRPr="00470FA3" w:rsidRDefault="00470FA3" w:rsidP="00470FA3">
      <w:pPr>
        <w:numPr>
          <w:ilvl w:val="0"/>
          <w:numId w:val="1"/>
        </w:numPr>
        <w:rPr>
          <w:lang w:val="es-EC"/>
        </w:rPr>
      </w:pPr>
      <w:r w:rsidRPr="00470FA3">
        <w:rPr>
          <w:lang w:val="es-EC"/>
        </w:rPr>
        <w:t>Uso dispar de gráficos para análisis similares</w:t>
      </w:r>
    </w:p>
    <w:p w14:paraId="4CAA25FC" w14:textId="77777777" w:rsidR="00470FA3" w:rsidRPr="00470FA3" w:rsidRDefault="00470FA3" w:rsidP="00470FA3">
      <w:pPr>
        <w:numPr>
          <w:ilvl w:val="0"/>
          <w:numId w:val="1"/>
        </w:numPr>
        <w:rPr>
          <w:lang w:val="es-EC"/>
        </w:rPr>
      </w:pPr>
      <w:r w:rsidRPr="00470FA3">
        <w:rPr>
          <w:lang w:val="es-EC"/>
        </w:rPr>
        <w:t>Dificultad para comparar información entre dashboards</w:t>
      </w:r>
    </w:p>
    <w:p w14:paraId="36800CBD" w14:textId="77777777" w:rsidR="00470FA3" w:rsidRPr="00470FA3" w:rsidRDefault="00470FA3" w:rsidP="00470FA3">
      <w:pPr>
        <w:numPr>
          <w:ilvl w:val="0"/>
          <w:numId w:val="1"/>
        </w:numPr>
        <w:rPr>
          <w:lang w:val="es-EC"/>
        </w:rPr>
      </w:pPr>
      <w:r w:rsidRPr="00470FA3">
        <w:rPr>
          <w:lang w:val="es-EC"/>
        </w:rPr>
        <w:t>Curvas de aprendizaje innecesarias para los usuarios finales</w:t>
      </w:r>
    </w:p>
    <w:p w14:paraId="6975807B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 xml:space="preserve">Desde el punto de vista del negocio, esta heterogeneidad incrementaba la </w:t>
      </w:r>
      <w:r w:rsidRPr="00470FA3">
        <w:rPr>
          <w:b/>
          <w:bCs/>
          <w:lang w:val="es-EC"/>
        </w:rPr>
        <w:t>carga cognitiva</w:t>
      </w:r>
      <w:r w:rsidRPr="00470FA3">
        <w:rPr>
          <w:lang w:val="es-EC"/>
        </w:rPr>
        <w:t xml:space="preserve">, reducía la </w:t>
      </w:r>
      <w:r w:rsidRPr="00470FA3">
        <w:rPr>
          <w:b/>
          <w:bCs/>
          <w:lang w:val="es-EC"/>
        </w:rPr>
        <w:t>confianza en los productos analíticos</w:t>
      </w:r>
      <w:r w:rsidRPr="00470FA3">
        <w:rPr>
          <w:lang w:val="es-EC"/>
        </w:rPr>
        <w:t xml:space="preserve"> y dificultaba la interpretación rápida de indicadores clave.</w:t>
      </w:r>
    </w:p>
    <w:p w14:paraId="5BCED602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lastRenderedPageBreak/>
        <w:t xml:space="preserve">La estandarización surge como una evolución hacia una </w:t>
      </w:r>
      <w:r w:rsidRPr="00470FA3">
        <w:rPr>
          <w:b/>
          <w:bCs/>
          <w:lang w:val="es-EC"/>
        </w:rPr>
        <w:t>analítica más madura</w:t>
      </w:r>
      <w:r w:rsidRPr="00470FA3">
        <w:rPr>
          <w:lang w:val="es-EC"/>
        </w:rPr>
        <w:t>, donde los dashboards se conciben como productos institucionales consistentes y confiables.</w:t>
      </w:r>
    </w:p>
    <w:p w14:paraId="28F4F713" w14:textId="77777777" w:rsidR="00470FA3" w:rsidRPr="00470FA3" w:rsidRDefault="00470FA3" w:rsidP="00470FA3">
      <w:r w:rsidRPr="00470FA3">
        <w:pict w14:anchorId="1650DC06">
          <v:rect id="_x0000_i1099" style="width:0;height:1.5pt" o:hralign="center" o:hrstd="t" o:hr="t" fillcolor="#a0a0a0" stroked="f"/>
        </w:pict>
      </w:r>
    </w:p>
    <w:p w14:paraId="58B76067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3. Enfoque metodológico del cambio</w:t>
      </w:r>
    </w:p>
    <w:p w14:paraId="0DFA3AB8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>El estándar se fundamenta en tres pilares complementarios:</w:t>
      </w:r>
    </w:p>
    <w:p w14:paraId="53AB5C84" w14:textId="77777777" w:rsidR="00470FA3" w:rsidRPr="00470FA3" w:rsidRDefault="00470FA3" w:rsidP="00470FA3">
      <w:pPr>
        <w:numPr>
          <w:ilvl w:val="0"/>
          <w:numId w:val="2"/>
        </w:numPr>
        <w:rPr>
          <w:lang w:val="es-EC"/>
        </w:rPr>
      </w:pPr>
      <w:r w:rsidRPr="00470FA3">
        <w:rPr>
          <w:b/>
          <w:bCs/>
          <w:lang w:val="es-EC"/>
        </w:rPr>
        <w:t>CRISP-DM</w:t>
      </w:r>
      <w:r w:rsidRPr="00470FA3">
        <w:rPr>
          <w:lang w:val="es-EC"/>
        </w:rPr>
        <w:t>, para asegurar alineación con los objetivos del negocio.</w:t>
      </w:r>
    </w:p>
    <w:p w14:paraId="70090C37" w14:textId="77777777" w:rsidR="00470FA3" w:rsidRPr="00470FA3" w:rsidRDefault="00470FA3" w:rsidP="00470FA3">
      <w:pPr>
        <w:numPr>
          <w:ilvl w:val="0"/>
          <w:numId w:val="2"/>
        </w:numPr>
        <w:rPr>
          <w:lang w:val="es-EC"/>
        </w:rPr>
      </w:pPr>
      <w:r w:rsidRPr="00470FA3">
        <w:rPr>
          <w:b/>
          <w:bCs/>
          <w:lang w:val="es-EC"/>
        </w:rPr>
        <w:t>Storytelling con datos</w:t>
      </w:r>
      <w:r w:rsidRPr="00470FA3">
        <w:rPr>
          <w:lang w:val="es-EC"/>
        </w:rPr>
        <w:t>, para comunicar mensajes claros y accionables.</w:t>
      </w:r>
    </w:p>
    <w:p w14:paraId="26269923" w14:textId="77777777" w:rsidR="00470FA3" w:rsidRPr="00470FA3" w:rsidRDefault="00470FA3" w:rsidP="00470FA3">
      <w:pPr>
        <w:numPr>
          <w:ilvl w:val="0"/>
          <w:numId w:val="2"/>
        </w:numPr>
        <w:rPr>
          <w:lang w:val="es-EC"/>
        </w:rPr>
      </w:pPr>
      <w:r w:rsidRPr="00470FA3">
        <w:rPr>
          <w:b/>
          <w:bCs/>
          <w:lang w:val="es-EC"/>
        </w:rPr>
        <w:t>Principios de visualización y UX</w:t>
      </w:r>
      <w:r w:rsidRPr="00470FA3">
        <w:rPr>
          <w:lang w:val="es-EC"/>
        </w:rPr>
        <w:t>, para reducir la carga cognitiva y mejorar la experiencia del usuario.</w:t>
      </w:r>
    </w:p>
    <w:p w14:paraId="31CD90A2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 xml:space="preserve">La literatura especializada indica que la estandarización visual no limita la creatividad, sino que </w:t>
      </w:r>
      <w:r w:rsidRPr="00470FA3">
        <w:rPr>
          <w:b/>
          <w:bCs/>
          <w:lang w:val="es-EC"/>
        </w:rPr>
        <w:t>establece un lenguaje visual común</w:t>
      </w:r>
      <w:r w:rsidRPr="00470FA3">
        <w:rPr>
          <w:lang w:val="es-EC"/>
        </w:rPr>
        <w:t xml:space="preserve"> que facilita la comprensión y la toma de decisiones.</w:t>
      </w:r>
    </w:p>
    <w:p w14:paraId="3632642E" w14:textId="77777777" w:rsidR="00470FA3" w:rsidRPr="00470FA3" w:rsidRDefault="00470FA3" w:rsidP="00470FA3">
      <w:r w:rsidRPr="00470FA3">
        <w:pict w14:anchorId="371588BA">
          <v:rect id="_x0000_i1100" style="width:0;height:1.5pt" o:hralign="center" o:hrstd="t" o:hr="t" fillcolor="#a0a0a0" stroked="f"/>
        </w:pict>
      </w:r>
    </w:p>
    <w:p w14:paraId="4639FD92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4. Relación con la metodología CRISP-DM</w:t>
      </w:r>
    </w:p>
    <w:p w14:paraId="39C1A11B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4.1 Business Understanding</w:t>
      </w:r>
    </w:p>
    <w:p w14:paraId="544E6532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>La visualización permite hacer visibles los KPIs que guían la toma de decisiones. Un estándar visual asegura interpretaciones consistentes, independientemente del dashboard o del desarrollador.</w:t>
      </w:r>
    </w:p>
    <w:p w14:paraId="5E8D0794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4.2 Data Understanding</w:t>
      </w:r>
    </w:p>
    <w:p w14:paraId="63689F7E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>La correcta selección de gráficos representa adecuadamente la naturaleza de los datos y evita interpretaciones erróneas.</w:t>
      </w:r>
    </w:p>
    <w:p w14:paraId="3FBB7FBD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4.3 Deployment</w:t>
      </w:r>
    </w:p>
    <w:p w14:paraId="17203CC5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>Los dashboards se convierten en productos analíticos reutilizables. La estandarización facilita mantenimiento, escalabilidad y adopción por parte de los usuarios.</w:t>
      </w:r>
    </w:p>
    <w:p w14:paraId="4AC81381" w14:textId="77777777" w:rsidR="00470FA3" w:rsidRPr="00470FA3" w:rsidRDefault="00470FA3" w:rsidP="00470FA3">
      <w:r w:rsidRPr="00470FA3">
        <w:pict w14:anchorId="502B2A66">
          <v:rect id="_x0000_i1101" style="width:0;height:1.5pt" o:hralign="center" o:hrstd="t" o:hr="t" fillcolor="#a0a0a0" stroked="f"/>
        </w:pict>
      </w:r>
    </w:p>
    <w:p w14:paraId="78A10FB4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5. Storytelling y visualización de datos</w:t>
      </w:r>
    </w:p>
    <w:p w14:paraId="55E47668" w14:textId="77777777" w:rsidR="00470FA3" w:rsidRPr="00470FA3" w:rsidRDefault="00470FA3" w:rsidP="00470FA3">
      <w:pPr>
        <w:rPr>
          <w:lang w:val="es-EC"/>
        </w:rPr>
      </w:pPr>
      <w:r w:rsidRPr="00470FA3">
        <w:rPr>
          <w:i/>
          <w:iCs/>
          <w:lang w:val="es-EC"/>
        </w:rPr>
        <w:t>(Principios de Knaflic, 2015)</w:t>
      </w:r>
    </w:p>
    <w:p w14:paraId="389F6419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lastRenderedPageBreak/>
        <w:t xml:space="preserve">La visualización efectiva no consiste únicamente en mostrar información, sino en </w:t>
      </w:r>
      <w:r w:rsidRPr="00470FA3">
        <w:rPr>
          <w:b/>
          <w:bCs/>
          <w:lang w:val="es-EC"/>
        </w:rPr>
        <w:t>comunicar un mensaje claro a una audiencia específica</w:t>
      </w:r>
      <w:r w:rsidRPr="00470FA3">
        <w:rPr>
          <w:lang w:val="es-EC"/>
        </w:rPr>
        <w:t xml:space="preserve">. El </w:t>
      </w:r>
      <w:r w:rsidRPr="00470FA3">
        <w:rPr>
          <w:i/>
          <w:iCs/>
          <w:lang w:val="es-EC"/>
        </w:rPr>
        <w:t>storytelling con datos</w:t>
      </w:r>
      <w:r w:rsidRPr="00470FA3">
        <w:rPr>
          <w:lang w:val="es-EC"/>
        </w:rPr>
        <w:t xml:space="preserve"> es un pilar del estándar y se basa en los principios expuestos en </w:t>
      </w:r>
      <w:r w:rsidRPr="00470FA3">
        <w:rPr>
          <w:b/>
          <w:bCs/>
          <w:lang w:val="es-EC"/>
        </w:rPr>
        <w:t>Storytelling with Data</w:t>
      </w:r>
      <w:r w:rsidRPr="00470FA3">
        <w:rPr>
          <w:lang w:val="es-EC"/>
        </w:rPr>
        <w:t>.</w:t>
      </w:r>
    </w:p>
    <w:p w14:paraId="55CFF7A3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5.1 Comprender el contexto y la audiencia</w:t>
      </w:r>
    </w:p>
    <w:p w14:paraId="265BF8EA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 xml:space="preserve">Todo dashboard debe diseñarse considerando quién es la audiencia y qué decisión necesita tomar. Este principio se alinea con </w:t>
      </w:r>
      <w:r w:rsidRPr="00470FA3">
        <w:rPr>
          <w:i/>
          <w:iCs/>
          <w:lang w:val="es-EC"/>
        </w:rPr>
        <w:t>Business Understanding</w:t>
      </w:r>
      <w:r w:rsidRPr="00470FA3">
        <w:rPr>
          <w:lang w:val="es-EC"/>
        </w:rPr>
        <w:t xml:space="preserve"> en CRISP-DM y evita visualizaciones genéricas que no aportan valor.</w:t>
      </w:r>
    </w:p>
    <w:p w14:paraId="3168F489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5.2 Definir el mensaje principal</w:t>
      </w:r>
    </w:p>
    <w:p w14:paraId="227A0935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 xml:space="preserve">Cada visualización debe tener </w:t>
      </w:r>
      <w:r w:rsidRPr="00470FA3">
        <w:rPr>
          <w:b/>
          <w:bCs/>
          <w:lang w:val="es-EC"/>
        </w:rPr>
        <w:t>un mensaje principal</w:t>
      </w:r>
      <w:r w:rsidRPr="00470FA3">
        <w:rPr>
          <w:lang w:val="es-EC"/>
        </w:rPr>
        <w:t>. Mostrar múltiples mensajes simultáneos diluye el impacto y aumenta la carga cognitiva. El estándar refuerza este principio mediante jerarquía tipográfica, uso controlado del color y selección adecuada de gráficos.</w:t>
      </w:r>
    </w:p>
    <w:p w14:paraId="3EBFFD23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5.3 Eliminar el ruido visual</w:t>
      </w:r>
    </w:p>
    <w:p w14:paraId="665EFB1C" w14:textId="77777777" w:rsidR="00470FA3" w:rsidRPr="00470FA3" w:rsidRDefault="00470FA3" w:rsidP="00470FA3">
      <w:r w:rsidRPr="00470FA3">
        <w:rPr>
          <w:lang w:val="es-EC"/>
        </w:rPr>
        <w:t xml:space="preserve">El ruido visual incluye fondos innecesarios, colores sin significado, exceso de etiquetas o gráficos inadecuados. </w:t>
      </w:r>
      <w:r w:rsidRPr="00470FA3">
        <w:t xml:space="preserve">El </w:t>
      </w:r>
      <w:proofErr w:type="spellStart"/>
      <w:r w:rsidRPr="00470FA3">
        <w:t>estándar</w:t>
      </w:r>
      <w:proofErr w:type="spellEnd"/>
      <w:r w:rsidRPr="00470FA3">
        <w:t xml:space="preserve"> </w:t>
      </w:r>
      <w:proofErr w:type="spellStart"/>
      <w:r w:rsidRPr="00470FA3">
        <w:t>elimina</w:t>
      </w:r>
      <w:proofErr w:type="spellEnd"/>
      <w:r w:rsidRPr="00470FA3">
        <w:t xml:space="preserve"> </w:t>
      </w:r>
      <w:proofErr w:type="spellStart"/>
      <w:r w:rsidRPr="00470FA3">
        <w:t>ruido</w:t>
      </w:r>
      <w:proofErr w:type="spellEnd"/>
      <w:r w:rsidRPr="00470FA3">
        <w:t xml:space="preserve"> </w:t>
      </w:r>
      <w:proofErr w:type="spellStart"/>
      <w:r w:rsidRPr="00470FA3">
        <w:t>mediante</w:t>
      </w:r>
      <w:proofErr w:type="spellEnd"/>
      <w:r w:rsidRPr="00470FA3">
        <w:t>:</w:t>
      </w:r>
    </w:p>
    <w:p w14:paraId="64D44161" w14:textId="77777777" w:rsidR="00470FA3" w:rsidRPr="00470FA3" w:rsidRDefault="00470FA3" w:rsidP="00470FA3">
      <w:pPr>
        <w:numPr>
          <w:ilvl w:val="0"/>
          <w:numId w:val="3"/>
        </w:numPr>
      </w:pPr>
      <w:proofErr w:type="spellStart"/>
      <w:r w:rsidRPr="00470FA3">
        <w:t>Tablas</w:t>
      </w:r>
      <w:proofErr w:type="spellEnd"/>
      <w:r w:rsidRPr="00470FA3">
        <w:t xml:space="preserve"> sin </w:t>
      </w:r>
      <w:proofErr w:type="spellStart"/>
      <w:r w:rsidRPr="00470FA3">
        <w:t>fondo</w:t>
      </w:r>
      <w:proofErr w:type="spellEnd"/>
    </w:p>
    <w:p w14:paraId="3DDD08C5" w14:textId="77777777" w:rsidR="00470FA3" w:rsidRPr="00470FA3" w:rsidRDefault="00470FA3" w:rsidP="00470FA3">
      <w:pPr>
        <w:numPr>
          <w:ilvl w:val="0"/>
          <w:numId w:val="3"/>
        </w:numPr>
      </w:pPr>
      <w:r w:rsidRPr="00470FA3">
        <w:t xml:space="preserve">Uso </w:t>
      </w:r>
      <w:proofErr w:type="spellStart"/>
      <w:r w:rsidRPr="00470FA3">
        <w:t>exclusivo</w:t>
      </w:r>
      <w:proofErr w:type="spellEnd"/>
      <w:r w:rsidRPr="00470FA3">
        <w:t xml:space="preserve"> de </w:t>
      </w:r>
      <w:proofErr w:type="spellStart"/>
      <w:r w:rsidRPr="00470FA3">
        <w:t>colores</w:t>
      </w:r>
      <w:proofErr w:type="spellEnd"/>
      <w:r w:rsidRPr="00470FA3">
        <w:t xml:space="preserve"> </w:t>
      </w:r>
      <w:proofErr w:type="spellStart"/>
      <w:r w:rsidRPr="00470FA3">
        <w:t>institucionales</w:t>
      </w:r>
      <w:proofErr w:type="spellEnd"/>
    </w:p>
    <w:p w14:paraId="63A641EF" w14:textId="77777777" w:rsidR="00470FA3" w:rsidRPr="00470FA3" w:rsidRDefault="00470FA3" w:rsidP="00470FA3">
      <w:pPr>
        <w:numPr>
          <w:ilvl w:val="0"/>
          <w:numId w:val="3"/>
        </w:numPr>
      </w:pPr>
      <w:proofErr w:type="spellStart"/>
      <w:r w:rsidRPr="00470FA3">
        <w:t>Líneas</w:t>
      </w:r>
      <w:proofErr w:type="spellEnd"/>
      <w:r w:rsidRPr="00470FA3">
        <w:t xml:space="preserve"> </w:t>
      </w:r>
      <w:proofErr w:type="spellStart"/>
      <w:r w:rsidRPr="00470FA3">
        <w:t>suavizadas</w:t>
      </w:r>
      <w:proofErr w:type="spellEnd"/>
      <w:r w:rsidRPr="00470FA3">
        <w:t xml:space="preserve"> </w:t>
      </w:r>
      <w:proofErr w:type="spellStart"/>
      <w:r w:rsidRPr="00470FA3">
        <w:t>en</w:t>
      </w:r>
      <w:proofErr w:type="spellEnd"/>
      <w:r w:rsidRPr="00470FA3">
        <w:t xml:space="preserve"> </w:t>
      </w:r>
      <w:proofErr w:type="spellStart"/>
      <w:r w:rsidRPr="00470FA3">
        <w:t>tendencias</w:t>
      </w:r>
      <w:proofErr w:type="spellEnd"/>
    </w:p>
    <w:p w14:paraId="7C3C5BE4" w14:textId="77777777" w:rsidR="00470FA3" w:rsidRPr="00470FA3" w:rsidRDefault="00470FA3" w:rsidP="00470FA3">
      <w:pPr>
        <w:numPr>
          <w:ilvl w:val="0"/>
          <w:numId w:val="3"/>
        </w:numPr>
        <w:rPr>
          <w:lang w:val="es-EC"/>
        </w:rPr>
      </w:pPr>
      <w:r w:rsidRPr="00470FA3">
        <w:rPr>
          <w:lang w:val="es-EC"/>
        </w:rPr>
        <w:t>Límite de categorías en gráficos de pastel</w:t>
      </w:r>
    </w:p>
    <w:p w14:paraId="329E3383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5.4 Dirigir la atención de forma intencional</w:t>
      </w:r>
    </w:p>
    <w:p w14:paraId="7A2B01D4" w14:textId="77777777" w:rsidR="00470FA3" w:rsidRPr="00470FA3" w:rsidRDefault="00470FA3" w:rsidP="00470FA3">
      <w:r w:rsidRPr="00470FA3">
        <w:rPr>
          <w:lang w:val="es-EC"/>
        </w:rPr>
        <w:t xml:space="preserve">El storytelling utiliza atributos pre-atentivos (color, tamaño, posición, iconografía) para dirigir la atención. </w:t>
      </w:r>
      <w:r w:rsidRPr="00470FA3">
        <w:t xml:space="preserve">El </w:t>
      </w:r>
      <w:proofErr w:type="spellStart"/>
      <w:r w:rsidRPr="00470FA3">
        <w:t>estándar</w:t>
      </w:r>
      <w:proofErr w:type="spellEnd"/>
      <w:r w:rsidRPr="00470FA3">
        <w:t xml:space="preserve"> </w:t>
      </w:r>
      <w:proofErr w:type="spellStart"/>
      <w:r w:rsidRPr="00470FA3">
        <w:t>incorpora</w:t>
      </w:r>
      <w:proofErr w:type="spellEnd"/>
      <w:r w:rsidRPr="00470FA3">
        <w:t>:</w:t>
      </w:r>
    </w:p>
    <w:p w14:paraId="5EF208AA" w14:textId="77777777" w:rsidR="00470FA3" w:rsidRPr="00470FA3" w:rsidRDefault="00470FA3" w:rsidP="00470FA3">
      <w:pPr>
        <w:numPr>
          <w:ilvl w:val="0"/>
          <w:numId w:val="4"/>
        </w:numPr>
        <w:rPr>
          <w:lang w:val="es-EC"/>
        </w:rPr>
      </w:pPr>
      <w:r w:rsidRPr="00470FA3">
        <w:rPr>
          <w:lang w:val="es-EC"/>
        </w:rPr>
        <w:t>Reglas condicionales para variaciones positivas/negativas</w:t>
      </w:r>
    </w:p>
    <w:p w14:paraId="06435C45" w14:textId="77777777" w:rsidR="00470FA3" w:rsidRPr="00470FA3" w:rsidRDefault="00470FA3" w:rsidP="00470FA3">
      <w:pPr>
        <w:numPr>
          <w:ilvl w:val="0"/>
          <w:numId w:val="4"/>
        </w:numPr>
      </w:pPr>
      <w:proofErr w:type="spellStart"/>
      <w:r w:rsidRPr="00470FA3">
        <w:t>Ubicación</w:t>
      </w:r>
      <w:proofErr w:type="spellEnd"/>
      <w:r w:rsidRPr="00470FA3">
        <w:t xml:space="preserve"> </w:t>
      </w:r>
      <w:proofErr w:type="spellStart"/>
      <w:r w:rsidRPr="00470FA3">
        <w:t>estratégica</w:t>
      </w:r>
      <w:proofErr w:type="spellEnd"/>
      <w:r w:rsidRPr="00470FA3">
        <w:t xml:space="preserve"> de KPIs</w:t>
      </w:r>
    </w:p>
    <w:p w14:paraId="613775DE" w14:textId="77777777" w:rsidR="00470FA3" w:rsidRPr="00470FA3" w:rsidRDefault="00470FA3" w:rsidP="00470FA3">
      <w:pPr>
        <w:numPr>
          <w:ilvl w:val="0"/>
          <w:numId w:val="4"/>
        </w:numPr>
      </w:pPr>
      <w:r w:rsidRPr="00470FA3">
        <w:t xml:space="preserve">Layout </w:t>
      </w:r>
      <w:proofErr w:type="spellStart"/>
      <w:r w:rsidRPr="00470FA3">
        <w:t>consistente</w:t>
      </w:r>
      <w:proofErr w:type="spellEnd"/>
    </w:p>
    <w:p w14:paraId="27B1A555" w14:textId="77777777" w:rsidR="00470FA3" w:rsidRPr="00470FA3" w:rsidRDefault="00470FA3" w:rsidP="00470FA3">
      <w:pPr>
        <w:numPr>
          <w:ilvl w:val="0"/>
          <w:numId w:val="4"/>
        </w:numPr>
        <w:rPr>
          <w:lang w:val="es-EC"/>
        </w:rPr>
      </w:pPr>
      <w:r w:rsidRPr="00470FA3">
        <w:rPr>
          <w:lang w:val="es-EC"/>
        </w:rPr>
        <w:t>Filtros a la izquierda siguiendo patrones de lectura</w:t>
      </w:r>
    </w:p>
    <w:p w14:paraId="652085FE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5.5 Coherencia narrativa</w:t>
      </w:r>
    </w:p>
    <w:p w14:paraId="2BC1527E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lastRenderedPageBreak/>
        <w:t>La historia debe mantenerse a lo largo de todo el dashboard. La estandarización permite repetir patrones visuales reconocibles y unificar tipografía, colores y formatos, reduciendo la curva de aprendizaje.</w:t>
      </w:r>
    </w:p>
    <w:p w14:paraId="328670DC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5.6 Storytelling, estandarización e identidad del área</w:t>
      </w:r>
    </w:p>
    <w:p w14:paraId="6AA46D87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 xml:space="preserve">Los principios de storytelling refuerzan que la estandarización no es estética, sino comunicacional. La coherencia visual fortalece la </w:t>
      </w:r>
      <w:r w:rsidRPr="00470FA3">
        <w:rPr>
          <w:b/>
          <w:bCs/>
          <w:lang w:val="es-EC"/>
        </w:rPr>
        <w:t>identidad del Área de Inteligencia de Negocios</w:t>
      </w:r>
      <w:r w:rsidRPr="00470FA3">
        <w:rPr>
          <w:lang w:val="es-EC"/>
        </w:rPr>
        <w:t>, transmitiendo profesionalismo, rigor analítico y enfoque en decisiones.</w:t>
      </w:r>
    </w:p>
    <w:p w14:paraId="410ACA6E" w14:textId="77777777" w:rsidR="00470FA3" w:rsidRPr="00470FA3" w:rsidRDefault="00470FA3" w:rsidP="00470FA3">
      <w:r w:rsidRPr="00470FA3">
        <w:pict w14:anchorId="23067B4D">
          <v:rect id="_x0000_i1102" style="width:0;height:1.5pt" o:hralign="center" o:hrstd="t" o:hr="t" fillcolor="#a0a0a0" stroked="f"/>
        </w:pict>
      </w:r>
    </w:p>
    <w:p w14:paraId="5604B780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6. Identidad de marca del Área de Inteligencia de Negocios</w:t>
      </w:r>
    </w:p>
    <w:p w14:paraId="0E0085AA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6.1 Identidad visual como activo estratégico</w:t>
      </w:r>
    </w:p>
    <w:p w14:paraId="45148E45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 xml:space="preserve">Los dashboards son puntos de contacto recurrentes con el negocio. Cada dashboard comunica también </w:t>
      </w:r>
      <w:r w:rsidRPr="00470FA3">
        <w:rPr>
          <w:b/>
          <w:bCs/>
          <w:lang w:val="es-EC"/>
        </w:rPr>
        <w:t>madurez analítica y confiabilidad</w:t>
      </w:r>
      <w:r w:rsidRPr="00470FA3">
        <w:rPr>
          <w:lang w:val="es-EC"/>
        </w:rPr>
        <w:t>.</w:t>
      </w:r>
    </w:p>
    <w:p w14:paraId="40A2B9CB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6.2 Componentes de la identidad visual</w:t>
      </w:r>
    </w:p>
    <w:p w14:paraId="3DBE7A96" w14:textId="77777777" w:rsidR="00470FA3" w:rsidRPr="00470FA3" w:rsidRDefault="00470FA3" w:rsidP="00470FA3">
      <w:pPr>
        <w:rPr>
          <w:lang w:val="es-EC"/>
        </w:rPr>
      </w:pPr>
      <w:r w:rsidRPr="00470FA3">
        <w:rPr>
          <w:b/>
          <w:bCs/>
          <w:lang w:val="es-EC"/>
        </w:rPr>
        <w:t>a) Paleta de colores institucionales</w:t>
      </w:r>
      <w:r w:rsidRPr="00470FA3">
        <w:rPr>
          <w:lang w:val="es-EC"/>
        </w:rPr>
        <w:br/>
        <w:t>Uso exclusivo para alineación con la marca y consistencia semántica del color.</w:t>
      </w:r>
    </w:p>
    <w:p w14:paraId="4F719E2A" w14:textId="77777777" w:rsidR="00470FA3" w:rsidRPr="00470FA3" w:rsidRDefault="00470FA3" w:rsidP="00470FA3">
      <w:pPr>
        <w:rPr>
          <w:lang w:val="es-EC"/>
        </w:rPr>
      </w:pPr>
      <w:r w:rsidRPr="00470FA3">
        <w:rPr>
          <w:b/>
          <w:bCs/>
          <w:lang w:val="es-EC"/>
        </w:rPr>
        <w:t>b) Tipografía estándar</w:t>
      </w:r>
      <w:r w:rsidRPr="00470FA3">
        <w:rPr>
          <w:lang w:val="es-EC"/>
        </w:rPr>
        <w:br/>
        <w:t xml:space="preserve">Se adopta </w:t>
      </w:r>
      <w:r w:rsidRPr="00470FA3">
        <w:rPr>
          <w:b/>
          <w:bCs/>
          <w:lang w:val="es-EC"/>
        </w:rPr>
        <w:t>Segoe UI</w:t>
      </w:r>
      <w:r w:rsidRPr="00470FA3">
        <w:rPr>
          <w:lang w:val="es-EC"/>
        </w:rPr>
        <w:t xml:space="preserve"> por legibilidad y alineación con interfaces corporativas.</w:t>
      </w:r>
    </w:p>
    <w:p w14:paraId="54CD8AA5" w14:textId="77777777" w:rsidR="00470FA3" w:rsidRPr="00470FA3" w:rsidRDefault="00470FA3" w:rsidP="00470FA3">
      <w:proofErr w:type="spellStart"/>
      <w:r w:rsidRPr="00470FA3">
        <w:t>Jerarquía</w:t>
      </w:r>
      <w:proofErr w:type="spellEnd"/>
      <w:r w:rsidRPr="00470FA3">
        <w:t>:</w:t>
      </w:r>
    </w:p>
    <w:p w14:paraId="6C4CD087" w14:textId="77777777" w:rsidR="00470FA3" w:rsidRPr="00470FA3" w:rsidRDefault="00470FA3" w:rsidP="00470FA3">
      <w:pPr>
        <w:numPr>
          <w:ilvl w:val="0"/>
          <w:numId w:val="5"/>
        </w:numPr>
      </w:pPr>
      <w:proofErr w:type="spellStart"/>
      <w:r w:rsidRPr="00470FA3">
        <w:t>Títulos</w:t>
      </w:r>
      <w:proofErr w:type="spellEnd"/>
      <w:r w:rsidRPr="00470FA3">
        <w:t>: 14</w:t>
      </w:r>
    </w:p>
    <w:p w14:paraId="59E8BD28" w14:textId="77777777" w:rsidR="00470FA3" w:rsidRPr="00470FA3" w:rsidRDefault="00470FA3" w:rsidP="00470FA3">
      <w:pPr>
        <w:numPr>
          <w:ilvl w:val="0"/>
          <w:numId w:val="5"/>
        </w:numPr>
      </w:pPr>
      <w:proofErr w:type="spellStart"/>
      <w:r w:rsidRPr="00470FA3">
        <w:t>Subtítulos</w:t>
      </w:r>
      <w:proofErr w:type="spellEnd"/>
      <w:r w:rsidRPr="00470FA3">
        <w:t>: 12</w:t>
      </w:r>
    </w:p>
    <w:p w14:paraId="50AD99F2" w14:textId="77777777" w:rsidR="00470FA3" w:rsidRPr="00470FA3" w:rsidRDefault="00470FA3" w:rsidP="00470FA3">
      <w:pPr>
        <w:numPr>
          <w:ilvl w:val="0"/>
          <w:numId w:val="5"/>
        </w:numPr>
      </w:pPr>
      <w:proofErr w:type="spellStart"/>
      <w:r w:rsidRPr="00470FA3">
        <w:t>Textos</w:t>
      </w:r>
      <w:proofErr w:type="spellEnd"/>
      <w:r w:rsidRPr="00470FA3">
        <w:t xml:space="preserve">, </w:t>
      </w:r>
      <w:proofErr w:type="spellStart"/>
      <w:r w:rsidRPr="00470FA3">
        <w:t>filtros</w:t>
      </w:r>
      <w:proofErr w:type="spellEnd"/>
      <w:r w:rsidRPr="00470FA3">
        <w:t xml:space="preserve"> y </w:t>
      </w:r>
      <w:proofErr w:type="spellStart"/>
      <w:r w:rsidRPr="00470FA3">
        <w:t>valores</w:t>
      </w:r>
      <w:proofErr w:type="spellEnd"/>
      <w:r w:rsidRPr="00470FA3">
        <w:t>: 10</w:t>
      </w:r>
    </w:p>
    <w:p w14:paraId="2EF7C0C4" w14:textId="77777777" w:rsidR="00470FA3" w:rsidRPr="00470FA3" w:rsidRDefault="00470FA3" w:rsidP="00470FA3">
      <w:pPr>
        <w:numPr>
          <w:ilvl w:val="0"/>
          <w:numId w:val="5"/>
        </w:numPr>
      </w:pPr>
      <w:proofErr w:type="spellStart"/>
      <w:r w:rsidRPr="00470FA3">
        <w:t>Notas</w:t>
      </w:r>
      <w:proofErr w:type="spellEnd"/>
      <w:r w:rsidRPr="00470FA3">
        <w:t>: 8</w:t>
      </w:r>
    </w:p>
    <w:p w14:paraId="71AAEF99" w14:textId="77777777" w:rsidR="00470FA3" w:rsidRPr="00470FA3" w:rsidRDefault="00470FA3" w:rsidP="00470FA3">
      <w:pPr>
        <w:rPr>
          <w:lang w:val="es-EC"/>
        </w:rPr>
      </w:pPr>
      <w:r w:rsidRPr="00470FA3">
        <w:rPr>
          <w:b/>
          <w:bCs/>
          <w:lang w:val="es-EC"/>
        </w:rPr>
        <w:t>c) Lienzo y estructura</w:t>
      </w:r>
      <w:r w:rsidRPr="00470FA3">
        <w:rPr>
          <w:lang w:val="es-EC"/>
        </w:rPr>
        <w:br/>
        <w:t>Estructura común que facilita navegación y reconocimiento del área.</w:t>
      </w:r>
    </w:p>
    <w:p w14:paraId="45B6BCF7" w14:textId="77777777" w:rsidR="00470FA3" w:rsidRPr="00470FA3" w:rsidRDefault="00470FA3" w:rsidP="00470FA3">
      <w:pPr>
        <w:rPr>
          <w:lang w:val="es-EC"/>
        </w:rPr>
      </w:pPr>
      <w:r w:rsidRPr="00470FA3">
        <w:rPr>
          <w:b/>
          <w:bCs/>
          <w:lang w:val="es-EC"/>
        </w:rPr>
        <w:t>d) Repositorio de íconos</w:t>
      </w:r>
      <w:r w:rsidRPr="00470FA3">
        <w:rPr>
          <w:lang w:val="es-EC"/>
        </w:rPr>
        <w:br/>
        <w:t>Íconos consistentes evitan ambigüedad y actúan como señales pre-atentivas.</w:t>
      </w:r>
    </w:p>
    <w:p w14:paraId="0E7C174A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6.3 Identidad visual y narrativa institucional</w:t>
      </w:r>
    </w:p>
    <w:p w14:paraId="49963744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>La identidad visual permite construir una narrativa institucional coherente y reconocible, alineada con prácticas internacionales de plataformas líderes de analítica.</w:t>
      </w:r>
    </w:p>
    <w:p w14:paraId="22D30D30" w14:textId="77777777" w:rsidR="00470FA3" w:rsidRPr="00470FA3" w:rsidRDefault="00470FA3" w:rsidP="00470FA3">
      <w:r w:rsidRPr="00470FA3">
        <w:lastRenderedPageBreak/>
        <w:pict w14:anchorId="4AB4F032">
          <v:rect id="_x0000_i1103" style="width:0;height:1.5pt" o:hralign="center" o:hrstd="t" o:hr="t" fillcolor="#a0a0a0" stroked="f"/>
        </w:pict>
      </w:r>
    </w:p>
    <w:p w14:paraId="15ADA9FB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7. Fundamentos del nuevo estándar de visualización</w:t>
      </w:r>
    </w:p>
    <w:p w14:paraId="425EB6DC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7.1 Layout y UX</w:t>
      </w:r>
    </w:p>
    <w:p w14:paraId="4699E3FF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>Filtros ubicados a la izquierda, alineados con el patrón de lectura en Z, mejoran la exploración y reducen fricción cognitiva.</w:t>
      </w:r>
    </w:p>
    <w:p w14:paraId="18CC91D2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7.2 Uso del color</w:t>
      </w:r>
    </w:p>
    <w:p w14:paraId="7B02D324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>El color debe ser consistente, significativo y moderado; apoya la narrativa y no compite con ella.</w:t>
      </w:r>
    </w:p>
    <w:p w14:paraId="366B1293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7.3 Escalas y formatos</w:t>
      </w:r>
    </w:p>
    <w:p w14:paraId="44B46D0A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 xml:space="preserve">Preferencia por </w:t>
      </w:r>
      <w:r w:rsidRPr="00470FA3">
        <w:rPr>
          <w:b/>
          <w:bCs/>
          <w:lang w:val="es-EC"/>
        </w:rPr>
        <w:t>montos en millones</w:t>
      </w:r>
      <w:r w:rsidRPr="00470FA3">
        <w:rPr>
          <w:lang w:val="es-EC"/>
        </w:rPr>
        <w:t xml:space="preserve"> y consistencia de unidades dentro del dashboard.</w:t>
      </w:r>
    </w:p>
    <w:p w14:paraId="58C7F817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7.4 Reglas condicionales</w:t>
      </w:r>
    </w:p>
    <w:p w14:paraId="0A8573EF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>Señales visuales para variaciones positivas y negativas facilitan interpretación inmediata.</w:t>
      </w:r>
    </w:p>
    <w:p w14:paraId="3CBD48AE" w14:textId="77777777" w:rsidR="00470FA3" w:rsidRPr="00470FA3" w:rsidRDefault="00470FA3" w:rsidP="00470FA3">
      <w:r w:rsidRPr="00470FA3">
        <w:pict w14:anchorId="1A6F82FC">
          <v:rect id="_x0000_i1104" style="width:0;height:1.5pt" o:hralign="center" o:hrstd="t" o:hr="t" fillcolor="#a0a0a0" stroked="f"/>
        </w:pict>
      </w:r>
    </w:p>
    <w:p w14:paraId="4499FF2C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8. Guía de usuario: sugerencias prácticas</w:t>
      </w:r>
    </w:p>
    <w:p w14:paraId="62DF0B28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8.1 Texto y etiquetas</w:t>
      </w:r>
    </w:p>
    <w:p w14:paraId="21BBE502" w14:textId="77777777" w:rsidR="00470FA3" w:rsidRPr="00470FA3" w:rsidRDefault="00470FA3" w:rsidP="00470FA3">
      <w:pPr>
        <w:numPr>
          <w:ilvl w:val="0"/>
          <w:numId w:val="6"/>
        </w:numPr>
      </w:pPr>
      <w:proofErr w:type="spellStart"/>
      <w:r w:rsidRPr="00470FA3">
        <w:t>Títulos</w:t>
      </w:r>
      <w:proofErr w:type="spellEnd"/>
      <w:r w:rsidRPr="00470FA3">
        <w:t xml:space="preserve"> </w:t>
      </w:r>
      <w:proofErr w:type="spellStart"/>
      <w:r w:rsidRPr="00470FA3">
        <w:t>descriptivos</w:t>
      </w:r>
      <w:proofErr w:type="spellEnd"/>
    </w:p>
    <w:p w14:paraId="404D51A6" w14:textId="77777777" w:rsidR="00470FA3" w:rsidRPr="00470FA3" w:rsidRDefault="00470FA3" w:rsidP="00470FA3">
      <w:pPr>
        <w:numPr>
          <w:ilvl w:val="0"/>
          <w:numId w:val="6"/>
        </w:numPr>
      </w:pPr>
      <w:proofErr w:type="spellStart"/>
      <w:r w:rsidRPr="00470FA3">
        <w:t>Unidades</w:t>
      </w:r>
      <w:proofErr w:type="spellEnd"/>
      <w:r w:rsidRPr="00470FA3">
        <w:t xml:space="preserve"> </w:t>
      </w:r>
      <w:proofErr w:type="spellStart"/>
      <w:r w:rsidRPr="00470FA3">
        <w:t>explícitas</w:t>
      </w:r>
      <w:proofErr w:type="spellEnd"/>
      <w:r w:rsidRPr="00470FA3">
        <w:t xml:space="preserve"> (%, USD, </w:t>
      </w:r>
      <w:proofErr w:type="spellStart"/>
      <w:r w:rsidRPr="00470FA3">
        <w:t>millones</w:t>
      </w:r>
      <w:proofErr w:type="spellEnd"/>
      <w:r w:rsidRPr="00470FA3">
        <w:t>)</w:t>
      </w:r>
    </w:p>
    <w:p w14:paraId="71421190" w14:textId="77777777" w:rsidR="00470FA3" w:rsidRPr="00470FA3" w:rsidRDefault="00470FA3" w:rsidP="00470FA3">
      <w:pPr>
        <w:numPr>
          <w:ilvl w:val="0"/>
          <w:numId w:val="6"/>
        </w:numPr>
      </w:pPr>
      <w:proofErr w:type="spellStart"/>
      <w:r w:rsidRPr="00470FA3">
        <w:t>Evitar</w:t>
      </w:r>
      <w:proofErr w:type="spellEnd"/>
      <w:r w:rsidRPr="00470FA3">
        <w:t xml:space="preserve"> </w:t>
      </w:r>
      <w:proofErr w:type="spellStart"/>
      <w:r w:rsidRPr="00470FA3">
        <w:t>abreviaturas</w:t>
      </w:r>
      <w:proofErr w:type="spellEnd"/>
      <w:r w:rsidRPr="00470FA3">
        <w:t xml:space="preserve"> </w:t>
      </w:r>
      <w:proofErr w:type="spellStart"/>
      <w:r w:rsidRPr="00470FA3">
        <w:t>ambiguas</w:t>
      </w:r>
      <w:proofErr w:type="spellEnd"/>
    </w:p>
    <w:p w14:paraId="0EA8AD5D" w14:textId="77777777" w:rsidR="00470FA3" w:rsidRPr="00470FA3" w:rsidRDefault="00470FA3" w:rsidP="00470FA3">
      <w:pPr>
        <w:numPr>
          <w:ilvl w:val="0"/>
          <w:numId w:val="6"/>
        </w:numPr>
      </w:pPr>
      <w:proofErr w:type="spellStart"/>
      <w:r w:rsidRPr="00470FA3">
        <w:t>Notas</w:t>
      </w:r>
      <w:proofErr w:type="spellEnd"/>
      <w:r w:rsidRPr="00470FA3">
        <w:t xml:space="preserve"> solo </w:t>
      </w:r>
      <w:proofErr w:type="spellStart"/>
      <w:r w:rsidRPr="00470FA3">
        <w:t>cuando</w:t>
      </w:r>
      <w:proofErr w:type="spellEnd"/>
      <w:r w:rsidRPr="00470FA3">
        <w:t xml:space="preserve"> </w:t>
      </w:r>
      <w:proofErr w:type="spellStart"/>
      <w:r w:rsidRPr="00470FA3">
        <w:t>aporten</w:t>
      </w:r>
      <w:proofErr w:type="spellEnd"/>
      <w:r w:rsidRPr="00470FA3">
        <w:t xml:space="preserve"> </w:t>
      </w:r>
      <w:proofErr w:type="spellStart"/>
      <w:r w:rsidRPr="00470FA3">
        <w:t>contexto</w:t>
      </w:r>
      <w:proofErr w:type="spellEnd"/>
    </w:p>
    <w:p w14:paraId="780F798F" w14:textId="77777777" w:rsidR="00470FA3" w:rsidRPr="00470FA3" w:rsidRDefault="00470FA3" w:rsidP="00470FA3">
      <w:pPr>
        <w:rPr>
          <w:b/>
          <w:bCs/>
        </w:rPr>
      </w:pPr>
      <w:r w:rsidRPr="00470FA3">
        <w:rPr>
          <w:b/>
          <w:bCs/>
        </w:rPr>
        <w:t xml:space="preserve">8.2 Reglas </w:t>
      </w:r>
      <w:proofErr w:type="spellStart"/>
      <w:r w:rsidRPr="00470FA3">
        <w:rPr>
          <w:b/>
          <w:bCs/>
        </w:rPr>
        <w:t>por</w:t>
      </w:r>
      <w:proofErr w:type="spellEnd"/>
      <w:r w:rsidRPr="00470FA3">
        <w:rPr>
          <w:b/>
          <w:bCs/>
        </w:rPr>
        <w:t xml:space="preserve"> </w:t>
      </w:r>
      <w:proofErr w:type="spellStart"/>
      <w:r w:rsidRPr="00470FA3">
        <w:rPr>
          <w:b/>
          <w:bCs/>
        </w:rPr>
        <w:t>tipo</w:t>
      </w:r>
      <w:proofErr w:type="spellEnd"/>
      <w:r w:rsidRPr="00470FA3">
        <w:rPr>
          <w:b/>
          <w:bCs/>
        </w:rPr>
        <w:t xml:space="preserve"> de </w:t>
      </w:r>
      <w:proofErr w:type="spellStart"/>
      <w:r w:rsidRPr="00470FA3">
        <w:rPr>
          <w:b/>
          <w:bCs/>
        </w:rPr>
        <w:t>gráfico</w:t>
      </w:r>
      <w:proofErr w:type="spellEnd"/>
    </w:p>
    <w:p w14:paraId="04B76CAC" w14:textId="77777777" w:rsidR="00470FA3" w:rsidRPr="00470FA3" w:rsidRDefault="00470FA3" w:rsidP="00470FA3">
      <w:pPr>
        <w:numPr>
          <w:ilvl w:val="0"/>
          <w:numId w:val="7"/>
        </w:numPr>
      </w:pPr>
      <w:r w:rsidRPr="00470FA3">
        <w:rPr>
          <w:b/>
          <w:bCs/>
        </w:rPr>
        <w:t>Pastel</w:t>
      </w:r>
      <w:r w:rsidRPr="00470FA3">
        <w:t xml:space="preserve">: ≤4 </w:t>
      </w:r>
      <w:proofErr w:type="spellStart"/>
      <w:r w:rsidRPr="00470FA3">
        <w:t>categorías</w:t>
      </w:r>
      <w:proofErr w:type="spellEnd"/>
      <w:r w:rsidRPr="00470FA3">
        <w:t xml:space="preserve">, solo para </w:t>
      </w:r>
      <w:proofErr w:type="spellStart"/>
      <w:r w:rsidRPr="00470FA3">
        <w:t>composición</w:t>
      </w:r>
      <w:proofErr w:type="spellEnd"/>
    </w:p>
    <w:p w14:paraId="0BD0B092" w14:textId="77777777" w:rsidR="00470FA3" w:rsidRPr="00470FA3" w:rsidRDefault="00470FA3" w:rsidP="00470FA3">
      <w:pPr>
        <w:numPr>
          <w:ilvl w:val="0"/>
          <w:numId w:val="7"/>
        </w:numPr>
      </w:pPr>
      <w:proofErr w:type="spellStart"/>
      <w:r w:rsidRPr="00470FA3">
        <w:rPr>
          <w:b/>
          <w:bCs/>
        </w:rPr>
        <w:t>Líneas</w:t>
      </w:r>
      <w:proofErr w:type="spellEnd"/>
      <w:r w:rsidRPr="00470FA3">
        <w:t xml:space="preserve">: </w:t>
      </w:r>
      <w:proofErr w:type="spellStart"/>
      <w:r w:rsidRPr="00470FA3">
        <w:t>suavizadas</w:t>
      </w:r>
      <w:proofErr w:type="spellEnd"/>
      <w:r w:rsidRPr="00470FA3">
        <w:t xml:space="preserve">, para </w:t>
      </w:r>
      <w:proofErr w:type="spellStart"/>
      <w:r w:rsidRPr="00470FA3">
        <w:t>tendencias</w:t>
      </w:r>
      <w:proofErr w:type="spellEnd"/>
    </w:p>
    <w:p w14:paraId="60127959" w14:textId="77777777" w:rsidR="00470FA3" w:rsidRPr="00470FA3" w:rsidRDefault="00470FA3" w:rsidP="00470FA3">
      <w:pPr>
        <w:numPr>
          <w:ilvl w:val="0"/>
          <w:numId w:val="7"/>
        </w:numPr>
        <w:rPr>
          <w:lang w:val="es-EC"/>
        </w:rPr>
      </w:pPr>
      <w:r w:rsidRPr="00470FA3">
        <w:rPr>
          <w:b/>
          <w:bCs/>
          <w:lang w:val="es-EC"/>
        </w:rPr>
        <w:t>Barras/Columnas</w:t>
      </w:r>
      <w:r w:rsidRPr="00470FA3">
        <w:rPr>
          <w:lang w:val="es-EC"/>
        </w:rPr>
        <w:t>: comparaciones y rankings (ordenadas)</w:t>
      </w:r>
    </w:p>
    <w:p w14:paraId="3FC640E5" w14:textId="77777777" w:rsidR="00470FA3" w:rsidRPr="00470FA3" w:rsidRDefault="00470FA3" w:rsidP="00470FA3">
      <w:pPr>
        <w:numPr>
          <w:ilvl w:val="0"/>
          <w:numId w:val="7"/>
        </w:numPr>
      </w:pPr>
      <w:proofErr w:type="spellStart"/>
      <w:r w:rsidRPr="00470FA3">
        <w:rPr>
          <w:b/>
          <w:bCs/>
        </w:rPr>
        <w:t>Tablas</w:t>
      </w:r>
      <w:proofErr w:type="spellEnd"/>
      <w:r w:rsidRPr="00470FA3">
        <w:t xml:space="preserve">: sin </w:t>
      </w:r>
      <w:proofErr w:type="spellStart"/>
      <w:r w:rsidRPr="00470FA3">
        <w:t>fondo</w:t>
      </w:r>
      <w:proofErr w:type="spellEnd"/>
      <w:r w:rsidRPr="00470FA3">
        <w:t xml:space="preserve">, para </w:t>
      </w:r>
      <w:proofErr w:type="spellStart"/>
      <w:r w:rsidRPr="00470FA3">
        <w:t>detalle</w:t>
      </w:r>
      <w:proofErr w:type="spellEnd"/>
    </w:p>
    <w:p w14:paraId="33B46ACF" w14:textId="77777777" w:rsidR="00470FA3" w:rsidRPr="00470FA3" w:rsidRDefault="00470FA3" w:rsidP="00470FA3">
      <w:r w:rsidRPr="00470FA3">
        <w:pict w14:anchorId="4300C8B3">
          <v:rect id="_x0000_i1105" style="width:0;height:1.5pt" o:hralign="center" o:hrstd="t" o:hr="t" fillcolor="#a0a0a0" stroked="f"/>
        </w:pict>
      </w:r>
    </w:p>
    <w:p w14:paraId="2B7243F8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9. Visualizaciones sugeridas según tipo de variable y objetivo</w:t>
      </w:r>
    </w:p>
    <w:p w14:paraId="59A6407B" w14:textId="77777777" w:rsidR="00470FA3" w:rsidRPr="00470FA3" w:rsidRDefault="00470FA3" w:rsidP="00470FA3">
      <w:pPr>
        <w:rPr>
          <w:b/>
          <w:bCs/>
        </w:rPr>
      </w:pPr>
      <w:r w:rsidRPr="00470FA3">
        <w:rPr>
          <w:b/>
          <w:bCs/>
        </w:rPr>
        <w:t xml:space="preserve">9.1 </w:t>
      </w:r>
      <w:proofErr w:type="spellStart"/>
      <w:r w:rsidRPr="00470FA3">
        <w:rPr>
          <w:b/>
          <w:bCs/>
        </w:rPr>
        <w:t>Según</w:t>
      </w:r>
      <w:proofErr w:type="spellEnd"/>
      <w:r w:rsidRPr="00470FA3">
        <w:rPr>
          <w:b/>
          <w:bCs/>
        </w:rPr>
        <w:t xml:space="preserve"> </w:t>
      </w:r>
      <w:proofErr w:type="spellStart"/>
      <w:r w:rsidRPr="00470FA3">
        <w:rPr>
          <w:b/>
          <w:bCs/>
        </w:rPr>
        <w:t>objetivo</w:t>
      </w:r>
      <w:proofErr w:type="spellEnd"/>
      <w:r w:rsidRPr="00470FA3">
        <w:rPr>
          <w:b/>
          <w:bCs/>
        </w:rPr>
        <w:t xml:space="preserve"> </w:t>
      </w:r>
      <w:proofErr w:type="spellStart"/>
      <w:r w:rsidRPr="00470FA3">
        <w:rPr>
          <w:b/>
          <w:bCs/>
        </w:rPr>
        <w:t>analítico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2320"/>
      </w:tblGrid>
      <w:tr w:rsidR="00470FA3" w:rsidRPr="00470FA3" w14:paraId="283A2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4A226" w14:textId="77777777" w:rsidR="00470FA3" w:rsidRPr="00470FA3" w:rsidRDefault="00470FA3" w:rsidP="00470FA3">
            <w:pPr>
              <w:rPr>
                <w:b/>
                <w:bCs/>
              </w:rPr>
            </w:pPr>
            <w:proofErr w:type="spellStart"/>
            <w:r w:rsidRPr="00470FA3">
              <w:rPr>
                <w:b/>
                <w:bCs/>
              </w:rPr>
              <w:lastRenderedPageBreak/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D621E" w14:textId="77777777" w:rsidR="00470FA3" w:rsidRPr="00470FA3" w:rsidRDefault="00470FA3" w:rsidP="00470FA3">
            <w:pPr>
              <w:rPr>
                <w:b/>
                <w:bCs/>
              </w:rPr>
            </w:pPr>
            <w:proofErr w:type="spellStart"/>
            <w:r w:rsidRPr="00470FA3">
              <w:rPr>
                <w:b/>
                <w:bCs/>
              </w:rPr>
              <w:t>Visualización</w:t>
            </w:r>
            <w:proofErr w:type="spellEnd"/>
          </w:p>
        </w:tc>
      </w:tr>
      <w:tr w:rsidR="00470FA3" w:rsidRPr="00470FA3" w14:paraId="7FC88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BBA3" w14:textId="77777777" w:rsidR="00470FA3" w:rsidRPr="00470FA3" w:rsidRDefault="00470FA3" w:rsidP="00470FA3">
            <w:proofErr w:type="spellStart"/>
            <w:r w:rsidRPr="00470FA3">
              <w:t>Comparación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8462A" w14:textId="77777777" w:rsidR="00470FA3" w:rsidRPr="00470FA3" w:rsidRDefault="00470FA3" w:rsidP="00470FA3">
            <w:r w:rsidRPr="00470FA3">
              <w:t>Barras / Columnas</w:t>
            </w:r>
          </w:p>
        </w:tc>
      </w:tr>
      <w:tr w:rsidR="00470FA3" w:rsidRPr="00470FA3" w14:paraId="632CF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425C" w14:textId="77777777" w:rsidR="00470FA3" w:rsidRPr="00470FA3" w:rsidRDefault="00470FA3" w:rsidP="00470FA3">
            <w:proofErr w:type="spellStart"/>
            <w:r w:rsidRPr="00470FA3">
              <w:t>Tendencia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29578" w14:textId="77777777" w:rsidR="00470FA3" w:rsidRPr="00470FA3" w:rsidRDefault="00470FA3" w:rsidP="00470FA3">
            <w:proofErr w:type="spellStart"/>
            <w:r w:rsidRPr="00470FA3">
              <w:t>Líneas</w:t>
            </w:r>
            <w:proofErr w:type="spellEnd"/>
            <w:r w:rsidRPr="00470FA3">
              <w:t xml:space="preserve"> </w:t>
            </w:r>
            <w:proofErr w:type="spellStart"/>
            <w:r w:rsidRPr="00470FA3">
              <w:t>suavizadas</w:t>
            </w:r>
            <w:proofErr w:type="spellEnd"/>
          </w:p>
        </w:tc>
      </w:tr>
      <w:tr w:rsidR="00470FA3" w:rsidRPr="00470FA3" w14:paraId="09452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78DA" w14:textId="77777777" w:rsidR="00470FA3" w:rsidRPr="00470FA3" w:rsidRDefault="00470FA3" w:rsidP="00470FA3">
            <w:r w:rsidRPr="00470FA3">
              <w:t>Ranking</w:t>
            </w:r>
          </w:p>
        </w:tc>
        <w:tc>
          <w:tcPr>
            <w:tcW w:w="0" w:type="auto"/>
            <w:vAlign w:val="center"/>
            <w:hideMark/>
          </w:tcPr>
          <w:p w14:paraId="194F10D3" w14:textId="77777777" w:rsidR="00470FA3" w:rsidRPr="00470FA3" w:rsidRDefault="00470FA3" w:rsidP="00470FA3">
            <w:r w:rsidRPr="00470FA3">
              <w:t xml:space="preserve">Barras </w:t>
            </w:r>
            <w:proofErr w:type="spellStart"/>
            <w:r w:rsidRPr="00470FA3">
              <w:t>ordenadas</w:t>
            </w:r>
            <w:proofErr w:type="spellEnd"/>
          </w:p>
        </w:tc>
      </w:tr>
      <w:tr w:rsidR="00470FA3" w:rsidRPr="00470FA3" w14:paraId="63D08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91C3" w14:textId="77777777" w:rsidR="00470FA3" w:rsidRPr="00470FA3" w:rsidRDefault="00470FA3" w:rsidP="00470FA3">
            <w:proofErr w:type="spellStart"/>
            <w:r w:rsidRPr="00470FA3">
              <w:t>Composición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BC3B9" w14:textId="77777777" w:rsidR="00470FA3" w:rsidRPr="00470FA3" w:rsidRDefault="00470FA3" w:rsidP="00470FA3">
            <w:r w:rsidRPr="00470FA3">
              <w:t>Pastel (≤4) / Apilado</w:t>
            </w:r>
          </w:p>
        </w:tc>
      </w:tr>
      <w:tr w:rsidR="00470FA3" w:rsidRPr="00470FA3" w14:paraId="01E83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D896" w14:textId="77777777" w:rsidR="00470FA3" w:rsidRPr="00470FA3" w:rsidRDefault="00470FA3" w:rsidP="00470FA3">
            <w:proofErr w:type="spellStart"/>
            <w:r w:rsidRPr="00470FA3">
              <w:t>Distribución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AD4F3" w14:textId="77777777" w:rsidR="00470FA3" w:rsidRPr="00470FA3" w:rsidRDefault="00470FA3" w:rsidP="00470FA3">
            <w:proofErr w:type="spellStart"/>
            <w:r w:rsidRPr="00470FA3">
              <w:t>Histograma</w:t>
            </w:r>
            <w:proofErr w:type="spellEnd"/>
          </w:p>
        </w:tc>
      </w:tr>
      <w:tr w:rsidR="00470FA3" w:rsidRPr="00470FA3" w14:paraId="0D4C2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4E0A" w14:textId="77777777" w:rsidR="00470FA3" w:rsidRPr="00470FA3" w:rsidRDefault="00470FA3" w:rsidP="00470FA3">
            <w:proofErr w:type="spellStart"/>
            <w:r w:rsidRPr="00470FA3">
              <w:t>Distribución</w:t>
            </w:r>
            <w:proofErr w:type="spellEnd"/>
            <w:r w:rsidRPr="00470FA3">
              <w:t xml:space="preserve"> y outliers</w:t>
            </w:r>
          </w:p>
        </w:tc>
        <w:tc>
          <w:tcPr>
            <w:tcW w:w="0" w:type="auto"/>
            <w:vAlign w:val="center"/>
            <w:hideMark/>
          </w:tcPr>
          <w:p w14:paraId="352CA895" w14:textId="77777777" w:rsidR="00470FA3" w:rsidRPr="00470FA3" w:rsidRDefault="00470FA3" w:rsidP="00470FA3">
            <w:r w:rsidRPr="00470FA3">
              <w:t>Boxplot</w:t>
            </w:r>
          </w:p>
        </w:tc>
      </w:tr>
      <w:tr w:rsidR="00470FA3" w:rsidRPr="00470FA3" w14:paraId="1AC0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123C" w14:textId="77777777" w:rsidR="00470FA3" w:rsidRPr="00470FA3" w:rsidRDefault="00470FA3" w:rsidP="00470FA3">
            <w:proofErr w:type="spellStart"/>
            <w:r w:rsidRPr="00470FA3">
              <w:t>Comparación</w:t>
            </w:r>
            <w:proofErr w:type="spellEnd"/>
            <w:r w:rsidRPr="00470FA3">
              <w:t xml:space="preserve"> de </w:t>
            </w:r>
            <w:proofErr w:type="spellStart"/>
            <w:r w:rsidRPr="00470FA3">
              <w:t>distribuciones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25ABF" w14:textId="77777777" w:rsidR="00470FA3" w:rsidRPr="00470FA3" w:rsidRDefault="00470FA3" w:rsidP="00470FA3">
            <w:proofErr w:type="spellStart"/>
            <w:r w:rsidRPr="00470FA3">
              <w:t>Violín</w:t>
            </w:r>
            <w:proofErr w:type="spellEnd"/>
          </w:p>
        </w:tc>
      </w:tr>
      <w:tr w:rsidR="00470FA3" w:rsidRPr="00470FA3" w14:paraId="3E813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7EEA" w14:textId="77777777" w:rsidR="00470FA3" w:rsidRPr="00470FA3" w:rsidRDefault="00470FA3" w:rsidP="00470FA3">
            <w:r w:rsidRPr="00470FA3">
              <w:t>KPIs</w:t>
            </w:r>
          </w:p>
        </w:tc>
        <w:tc>
          <w:tcPr>
            <w:tcW w:w="0" w:type="auto"/>
            <w:vAlign w:val="center"/>
            <w:hideMark/>
          </w:tcPr>
          <w:p w14:paraId="58CCA921" w14:textId="77777777" w:rsidR="00470FA3" w:rsidRPr="00470FA3" w:rsidRDefault="00470FA3" w:rsidP="00470FA3">
            <w:proofErr w:type="spellStart"/>
            <w:r w:rsidRPr="00470FA3">
              <w:t>Tarjetas</w:t>
            </w:r>
            <w:proofErr w:type="spellEnd"/>
            <w:r w:rsidRPr="00470FA3">
              <w:t xml:space="preserve"> con </w:t>
            </w:r>
            <w:proofErr w:type="spellStart"/>
            <w:r w:rsidRPr="00470FA3">
              <w:t>variación</w:t>
            </w:r>
            <w:proofErr w:type="spellEnd"/>
          </w:p>
        </w:tc>
      </w:tr>
      <w:tr w:rsidR="00470FA3" w:rsidRPr="00470FA3" w14:paraId="2F815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0183" w14:textId="77777777" w:rsidR="00470FA3" w:rsidRPr="00470FA3" w:rsidRDefault="00470FA3" w:rsidP="00470FA3">
            <w:proofErr w:type="spellStart"/>
            <w:r w:rsidRPr="00470FA3">
              <w:t>Detalle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CF2F5" w14:textId="77777777" w:rsidR="00470FA3" w:rsidRPr="00470FA3" w:rsidRDefault="00470FA3" w:rsidP="00470FA3">
            <w:proofErr w:type="spellStart"/>
            <w:r w:rsidRPr="00470FA3">
              <w:t>Tabla</w:t>
            </w:r>
            <w:proofErr w:type="spellEnd"/>
          </w:p>
        </w:tc>
      </w:tr>
    </w:tbl>
    <w:p w14:paraId="1016FE69" w14:textId="77777777" w:rsidR="00470FA3" w:rsidRPr="00470FA3" w:rsidRDefault="00470FA3" w:rsidP="00470FA3">
      <w:pPr>
        <w:rPr>
          <w:b/>
          <w:bCs/>
        </w:rPr>
      </w:pPr>
      <w:r w:rsidRPr="00470FA3">
        <w:rPr>
          <w:b/>
          <w:bCs/>
        </w:rPr>
        <w:t xml:space="preserve">9.2 </w:t>
      </w:r>
      <w:proofErr w:type="spellStart"/>
      <w:r w:rsidRPr="00470FA3">
        <w:rPr>
          <w:b/>
          <w:bCs/>
        </w:rPr>
        <w:t>Según</w:t>
      </w:r>
      <w:proofErr w:type="spellEnd"/>
      <w:r w:rsidRPr="00470FA3">
        <w:rPr>
          <w:b/>
          <w:bCs/>
        </w:rPr>
        <w:t xml:space="preserve"> </w:t>
      </w:r>
      <w:proofErr w:type="spellStart"/>
      <w:r w:rsidRPr="00470FA3">
        <w:rPr>
          <w:b/>
          <w:bCs/>
        </w:rPr>
        <w:t>tipo</w:t>
      </w:r>
      <w:proofErr w:type="spellEnd"/>
      <w:r w:rsidRPr="00470FA3">
        <w:rPr>
          <w:b/>
          <w:bCs/>
        </w:rPr>
        <w:t xml:space="preserve"> de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1685"/>
      </w:tblGrid>
      <w:tr w:rsidR="00470FA3" w:rsidRPr="00470FA3" w14:paraId="77AE7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AB76B" w14:textId="77777777" w:rsidR="00470FA3" w:rsidRPr="00470FA3" w:rsidRDefault="00470FA3" w:rsidP="00470FA3">
            <w:pPr>
              <w:rPr>
                <w:b/>
                <w:bCs/>
              </w:rPr>
            </w:pPr>
            <w:r w:rsidRPr="00470FA3">
              <w:rPr>
                <w:b/>
                <w:bCs/>
              </w:rPr>
              <w:t>Tipo de variable</w:t>
            </w:r>
          </w:p>
        </w:tc>
        <w:tc>
          <w:tcPr>
            <w:tcW w:w="0" w:type="auto"/>
            <w:vAlign w:val="center"/>
            <w:hideMark/>
          </w:tcPr>
          <w:p w14:paraId="4ACB6354" w14:textId="77777777" w:rsidR="00470FA3" w:rsidRPr="00470FA3" w:rsidRDefault="00470FA3" w:rsidP="00470FA3">
            <w:pPr>
              <w:rPr>
                <w:b/>
                <w:bCs/>
              </w:rPr>
            </w:pPr>
            <w:proofErr w:type="spellStart"/>
            <w:r w:rsidRPr="00470FA3">
              <w:rPr>
                <w:b/>
                <w:bCs/>
              </w:rPr>
              <w:t>Gráfico</w:t>
            </w:r>
            <w:proofErr w:type="spellEnd"/>
          </w:p>
        </w:tc>
      </w:tr>
      <w:tr w:rsidR="00470FA3" w:rsidRPr="00470FA3" w14:paraId="15EF2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8492" w14:textId="77777777" w:rsidR="00470FA3" w:rsidRPr="00470FA3" w:rsidRDefault="00470FA3" w:rsidP="00470FA3">
            <w:proofErr w:type="spellStart"/>
            <w:r w:rsidRPr="00470FA3">
              <w:t>Categórica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9BF5C" w14:textId="77777777" w:rsidR="00470FA3" w:rsidRPr="00470FA3" w:rsidRDefault="00470FA3" w:rsidP="00470FA3">
            <w:r w:rsidRPr="00470FA3">
              <w:t>Barras</w:t>
            </w:r>
          </w:p>
        </w:tc>
      </w:tr>
      <w:tr w:rsidR="00470FA3" w:rsidRPr="00470FA3" w14:paraId="406E0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D85B" w14:textId="77777777" w:rsidR="00470FA3" w:rsidRPr="00470FA3" w:rsidRDefault="00470FA3" w:rsidP="00470FA3">
            <w:proofErr w:type="spellStart"/>
            <w:r w:rsidRPr="00470FA3">
              <w:t>Numérica</w:t>
            </w:r>
            <w:proofErr w:type="spellEnd"/>
            <w:r w:rsidRPr="00470FA3">
              <w:t xml:space="preserve"> continua</w:t>
            </w:r>
          </w:p>
        </w:tc>
        <w:tc>
          <w:tcPr>
            <w:tcW w:w="0" w:type="auto"/>
            <w:vAlign w:val="center"/>
            <w:hideMark/>
          </w:tcPr>
          <w:p w14:paraId="6ABBC47E" w14:textId="77777777" w:rsidR="00470FA3" w:rsidRPr="00470FA3" w:rsidRDefault="00470FA3" w:rsidP="00470FA3">
            <w:proofErr w:type="spellStart"/>
            <w:r w:rsidRPr="00470FA3">
              <w:t>Histograma</w:t>
            </w:r>
            <w:proofErr w:type="spellEnd"/>
          </w:p>
        </w:tc>
      </w:tr>
      <w:tr w:rsidR="00470FA3" w:rsidRPr="00470FA3" w14:paraId="49305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6E17" w14:textId="77777777" w:rsidR="00470FA3" w:rsidRPr="00470FA3" w:rsidRDefault="00470FA3" w:rsidP="00470FA3">
            <w:proofErr w:type="spellStart"/>
            <w:r w:rsidRPr="00470FA3">
              <w:t>Numérica</w:t>
            </w:r>
            <w:proofErr w:type="spellEnd"/>
            <w:r w:rsidRPr="00470FA3">
              <w:t xml:space="preserve"> continua</w:t>
            </w:r>
          </w:p>
        </w:tc>
        <w:tc>
          <w:tcPr>
            <w:tcW w:w="0" w:type="auto"/>
            <w:vAlign w:val="center"/>
            <w:hideMark/>
          </w:tcPr>
          <w:p w14:paraId="122C511C" w14:textId="77777777" w:rsidR="00470FA3" w:rsidRPr="00470FA3" w:rsidRDefault="00470FA3" w:rsidP="00470FA3">
            <w:r w:rsidRPr="00470FA3">
              <w:t>Boxplot</w:t>
            </w:r>
          </w:p>
        </w:tc>
      </w:tr>
      <w:tr w:rsidR="00470FA3" w:rsidRPr="00470FA3" w14:paraId="7B5FE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C05F" w14:textId="77777777" w:rsidR="00470FA3" w:rsidRPr="00470FA3" w:rsidRDefault="00470FA3" w:rsidP="00470FA3">
            <w:proofErr w:type="spellStart"/>
            <w:r w:rsidRPr="00470FA3">
              <w:t>Numérica</w:t>
            </w:r>
            <w:proofErr w:type="spellEnd"/>
            <w:r w:rsidRPr="00470FA3">
              <w:t xml:space="preserve"> continua </w:t>
            </w:r>
            <w:proofErr w:type="spellStart"/>
            <w:r w:rsidRPr="00470FA3">
              <w:t>comparativa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9EEEE" w14:textId="77777777" w:rsidR="00470FA3" w:rsidRPr="00470FA3" w:rsidRDefault="00470FA3" w:rsidP="00470FA3">
            <w:proofErr w:type="spellStart"/>
            <w:r w:rsidRPr="00470FA3">
              <w:t>Violín</w:t>
            </w:r>
            <w:proofErr w:type="spellEnd"/>
          </w:p>
        </w:tc>
      </w:tr>
      <w:tr w:rsidR="00470FA3" w:rsidRPr="00470FA3" w14:paraId="74315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F7AD" w14:textId="77777777" w:rsidR="00470FA3" w:rsidRPr="00470FA3" w:rsidRDefault="00470FA3" w:rsidP="00470FA3">
            <w:r w:rsidRPr="00470FA3">
              <w:t>Temporal</w:t>
            </w:r>
          </w:p>
        </w:tc>
        <w:tc>
          <w:tcPr>
            <w:tcW w:w="0" w:type="auto"/>
            <w:vAlign w:val="center"/>
            <w:hideMark/>
          </w:tcPr>
          <w:p w14:paraId="51097DF1" w14:textId="77777777" w:rsidR="00470FA3" w:rsidRPr="00470FA3" w:rsidRDefault="00470FA3" w:rsidP="00470FA3">
            <w:r w:rsidRPr="00470FA3">
              <w:t>Línea</w:t>
            </w:r>
          </w:p>
        </w:tc>
      </w:tr>
      <w:tr w:rsidR="00470FA3" w:rsidRPr="00470FA3" w14:paraId="5EDDC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A188" w14:textId="77777777" w:rsidR="00470FA3" w:rsidRPr="00470FA3" w:rsidRDefault="00470FA3" w:rsidP="00470FA3">
            <w:proofErr w:type="spellStart"/>
            <w:r w:rsidRPr="00470FA3">
              <w:t>Proporcional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699F9" w14:textId="77777777" w:rsidR="00470FA3" w:rsidRPr="00470FA3" w:rsidRDefault="00470FA3" w:rsidP="00470FA3">
            <w:r w:rsidRPr="00470FA3">
              <w:t>Pastel / Apilado</w:t>
            </w:r>
          </w:p>
        </w:tc>
      </w:tr>
    </w:tbl>
    <w:p w14:paraId="7E539D82" w14:textId="77777777" w:rsidR="00470FA3" w:rsidRPr="00470FA3" w:rsidRDefault="00470FA3" w:rsidP="00470FA3">
      <w:r w:rsidRPr="00470FA3">
        <w:pict w14:anchorId="10205BFD">
          <v:rect id="_x0000_i1106" style="width:0;height:1.5pt" o:hralign="center" o:hrstd="t" o:hr="t" fillcolor="#a0a0a0" stroked="f"/>
        </w:pict>
      </w:r>
    </w:p>
    <w:p w14:paraId="68CE7AE9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10. Referencias internacionales (respaldo conceptual)</w:t>
      </w:r>
    </w:p>
    <w:p w14:paraId="544E320E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>Prácticas alineadas con estándares de plataformas líderes y marcos de madurez analítica:</w:t>
      </w:r>
    </w:p>
    <w:p w14:paraId="56E33520" w14:textId="77777777" w:rsidR="00470FA3" w:rsidRPr="00470FA3" w:rsidRDefault="00470FA3" w:rsidP="00470FA3">
      <w:pPr>
        <w:numPr>
          <w:ilvl w:val="0"/>
          <w:numId w:val="8"/>
        </w:numPr>
        <w:rPr>
          <w:lang w:val="es-EC"/>
        </w:rPr>
      </w:pPr>
      <w:r w:rsidRPr="00470FA3">
        <w:rPr>
          <w:lang w:val="es-EC"/>
        </w:rPr>
        <w:t>Guías de diseño de Power BI</w:t>
      </w:r>
    </w:p>
    <w:p w14:paraId="6579F7FF" w14:textId="77777777" w:rsidR="00470FA3" w:rsidRPr="00470FA3" w:rsidRDefault="00470FA3" w:rsidP="00470FA3">
      <w:pPr>
        <w:numPr>
          <w:ilvl w:val="0"/>
          <w:numId w:val="8"/>
        </w:numPr>
      </w:pPr>
      <w:r w:rsidRPr="00470FA3">
        <w:t>Tableau Blueprint</w:t>
      </w:r>
    </w:p>
    <w:p w14:paraId="132BD6A5" w14:textId="77777777" w:rsidR="00470FA3" w:rsidRPr="00470FA3" w:rsidRDefault="00470FA3" w:rsidP="00470FA3">
      <w:pPr>
        <w:numPr>
          <w:ilvl w:val="0"/>
          <w:numId w:val="8"/>
        </w:numPr>
      </w:pPr>
      <w:r w:rsidRPr="00470FA3">
        <w:t>Looker Design Practices</w:t>
      </w:r>
    </w:p>
    <w:p w14:paraId="13D625BA" w14:textId="77777777" w:rsidR="00470FA3" w:rsidRPr="00470FA3" w:rsidRDefault="00470FA3" w:rsidP="00470FA3">
      <w:pPr>
        <w:numPr>
          <w:ilvl w:val="0"/>
          <w:numId w:val="8"/>
        </w:numPr>
        <w:rPr>
          <w:lang w:val="es-EC"/>
        </w:rPr>
      </w:pPr>
      <w:r w:rsidRPr="00470FA3">
        <w:rPr>
          <w:lang w:val="es-EC"/>
        </w:rPr>
        <w:lastRenderedPageBreak/>
        <w:t>Modelos de madurez analítica (p. ej., Gartner)</w:t>
      </w:r>
    </w:p>
    <w:p w14:paraId="19720360" w14:textId="77777777" w:rsidR="00470FA3" w:rsidRPr="00470FA3" w:rsidRDefault="00470FA3" w:rsidP="00470FA3">
      <w:r w:rsidRPr="00470FA3">
        <w:pict w14:anchorId="4475AE09">
          <v:rect id="_x0000_i1107" style="width:0;height:1.5pt" o:hralign="center" o:hrstd="t" o:hr="t" fillcolor="#a0a0a0" stroked="f"/>
        </w:pict>
      </w:r>
    </w:p>
    <w:p w14:paraId="45F83332" w14:textId="77777777" w:rsidR="00470FA3" w:rsidRPr="00470FA3" w:rsidRDefault="00470FA3" w:rsidP="00470FA3">
      <w:pPr>
        <w:rPr>
          <w:b/>
          <w:bCs/>
          <w:lang w:val="es-EC"/>
        </w:rPr>
      </w:pPr>
      <w:r w:rsidRPr="00470FA3">
        <w:rPr>
          <w:b/>
          <w:bCs/>
          <w:lang w:val="es-EC"/>
        </w:rPr>
        <w:t>11. Conclusión</w:t>
      </w:r>
    </w:p>
    <w:p w14:paraId="5DD0DD47" w14:textId="77777777" w:rsidR="00470FA3" w:rsidRPr="00470FA3" w:rsidRDefault="00470FA3" w:rsidP="00470FA3">
      <w:pPr>
        <w:rPr>
          <w:lang w:val="es-EC"/>
        </w:rPr>
      </w:pPr>
      <w:r w:rsidRPr="00470FA3">
        <w:rPr>
          <w:lang w:val="es-EC"/>
        </w:rPr>
        <w:t>El estándar de visualización en Power BI es una evolución metodológica y estratégica. Integra CRISP-DM, storytelling con datos, UX e identidad de marca del área para construir dashboards consistentes, claros y confiables, fortaleciendo la adopción y la toma de decisiones.</w:t>
      </w:r>
    </w:p>
    <w:p w14:paraId="30C5DE03" w14:textId="77777777" w:rsidR="00470FA3" w:rsidRPr="00470FA3" w:rsidRDefault="00470FA3" w:rsidP="00470FA3">
      <w:r w:rsidRPr="00470FA3">
        <w:pict w14:anchorId="71A260CA">
          <v:rect id="_x0000_i1108" style="width:0;height:1.5pt" o:hralign="center" o:hrstd="t" o:hr="t" fillcolor="#a0a0a0" stroked="f"/>
        </w:pict>
      </w:r>
    </w:p>
    <w:p w14:paraId="31E2DE2D" w14:textId="77777777" w:rsidR="00470FA3" w:rsidRPr="00470FA3" w:rsidRDefault="00470FA3" w:rsidP="00470FA3">
      <w:pPr>
        <w:rPr>
          <w:b/>
          <w:bCs/>
        </w:rPr>
      </w:pPr>
      <w:r w:rsidRPr="00470FA3">
        <w:rPr>
          <w:b/>
          <w:bCs/>
        </w:rPr>
        <w:t xml:space="preserve">12. </w:t>
      </w:r>
      <w:proofErr w:type="spellStart"/>
      <w:r w:rsidRPr="00470FA3">
        <w:rPr>
          <w:b/>
          <w:bCs/>
        </w:rPr>
        <w:t>Referencias</w:t>
      </w:r>
      <w:proofErr w:type="spellEnd"/>
    </w:p>
    <w:p w14:paraId="677229F4" w14:textId="77777777" w:rsidR="00470FA3" w:rsidRPr="00470FA3" w:rsidRDefault="00470FA3" w:rsidP="00470FA3">
      <w:pPr>
        <w:numPr>
          <w:ilvl w:val="0"/>
          <w:numId w:val="9"/>
        </w:numPr>
      </w:pPr>
      <w:r w:rsidRPr="00470FA3">
        <w:t xml:space="preserve">Few, S. (2012). </w:t>
      </w:r>
      <w:r w:rsidRPr="00470FA3">
        <w:rPr>
          <w:i/>
          <w:iCs/>
        </w:rPr>
        <w:t>Show Me the Numbers</w:t>
      </w:r>
      <w:r w:rsidRPr="00470FA3">
        <w:t>.</w:t>
      </w:r>
    </w:p>
    <w:p w14:paraId="21C06C08" w14:textId="77777777" w:rsidR="00470FA3" w:rsidRPr="00470FA3" w:rsidRDefault="00470FA3" w:rsidP="00470FA3">
      <w:pPr>
        <w:numPr>
          <w:ilvl w:val="0"/>
          <w:numId w:val="9"/>
        </w:numPr>
      </w:pPr>
      <w:proofErr w:type="spellStart"/>
      <w:r w:rsidRPr="00470FA3">
        <w:t>Knaflic</w:t>
      </w:r>
      <w:proofErr w:type="spellEnd"/>
      <w:r w:rsidRPr="00470FA3">
        <w:t xml:space="preserve">, C. N. (2015). </w:t>
      </w:r>
      <w:r w:rsidRPr="00470FA3">
        <w:rPr>
          <w:i/>
          <w:iCs/>
        </w:rPr>
        <w:t>Storytelling with Data</w:t>
      </w:r>
      <w:r w:rsidRPr="00470FA3">
        <w:t>.</w:t>
      </w:r>
    </w:p>
    <w:p w14:paraId="6DFD2214" w14:textId="77777777" w:rsidR="00470FA3" w:rsidRPr="00470FA3" w:rsidRDefault="00470FA3" w:rsidP="00470FA3">
      <w:pPr>
        <w:numPr>
          <w:ilvl w:val="0"/>
          <w:numId w:val="9"/>
        </w:numPr>
      </w:pPr>
      <w:r w:rsidRPr="00470FA3">
        <w:t xml:space="preserve">Cairo, A. (2016). </w:t>
      </w:r>
      <w:r w:rsidRPr="00470FA3">
        <w:rPr>
          <w:i/>
          <w:iCs/>
        </w:rPr>
        <w:t>The Truthful Art</w:t>
      </w:r>
      <w:r w:rsidRPr="00470FA3">
        <w:t>.</w:t>
      </w:r>
    </w:p>
    <w:p w14:paraId="23115BCB" w14:textId="77777777" w:rsidR="00470FA3" w:rsidRPr="00470FA3" w:rsidRDefault="00470FA3" w:rsidP="00470FA3">
      <w:pPr>
        <w:numPr>
          <w:ilvl w:val="0"/>
          <w:numId w:val="9"/>
        </w:numPr>
      </w:pPr>
      <w:proofErr w:type="spellStart"/>
      <w:r w:rsidRPr="00470FA3">
        <w:t>Munzner</w:t>
      </w:r>
      <w:proofErr w:type="spellEnd"/>
      <w:r w:rsidRPr="00470FA3">
        <w:t xml:space="preserve">, T. (2014). </w:t>
      </w:r>
      <w:r w:rsidRPr="00470FA3">
        <w:rPr>
          <w:i/>
          <w:iCs/>
        </w:rPr>
        <w:t>Visualization Analysis and Design</w:t>
      </w:r>
      <w:r w:rsidRPr="00470FA3">
        <w:t>.</w:t>
      </w:r>
    </w:p>
    <w:p w14:paraId="6BFB3E67" w14:textId="77777777" w:rsidR="00470FA3" w:rsidRPr="00470FA3" w:rsidRDefault="00470FA3" w:rsidP="00470FA3">
      <w:pPr>
        <w:numPr>
          <w:ilvl w:val="0"/>
          <w:numId w:val="9"/>
        </w:numPr>
      </w:pPr>
      <w:r w:rsidRPr="00470FA3">
        <w:t xml:space="preserve">Nielsen, J. (2006). </w:t>
      </w:r>
      <w:r w:rsidRPr="00470FA3">
        <w:rPr>
          <w:i/>
          <w:iCs/>
        </w:rPr>
        <w:t>F- and Z-Pattern Reading on the Web</w:t>
      </w:r>
      <w:r w:rsidRPr="00470FA3">
        <w:t>.</w:t>
      </w:r>
    </w:p>
    <w:p w14:paraId="00F33704" w14:textId="77777777" w:rsidR="00470FA3" w:rsidRDefault="00470FA3"/>
    <w:sectPr w:rsidR="00470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05C7"/>
    <w:multiLevelType w:val="multilevel"/>
    <w:tmpl w:val="A72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17CC5"/>
    <w:multiLevelType w:val="multilevel"/>
    <w:tmpl w:val="E242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E39E4"/>
    <w:multiLevelType w:val="multilevel"/>
    <w:tmpl w:val="587E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F240A"/>
    <w:multiLevelType w:val="multilevel"/>
    <w:tmpl w:val="8BE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52DB5"/>
    <w:multiLevelType w:val="multilevel"/>
    <w:tmpl w:val="7AD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03119"/>
    <w:multiLevelType w:val="multilevel"/>
    <w:tmpl w:val="B6D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453C7"/>
    <w:multiLevelType w:val="multilevel"/>
    <w:tmpl w:val="7EB2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04338"/>
    <w:multiLevelType w:val="multilevel"/>
    <w:tmpl w:val="1756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D09F2"/>
    <w:multiLevelType w:val="multilevel"/>
    <w:tmpl w:val="8850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724143">
    <w:abstractNumId w:val="1"/>
  </w:num>
  <w:num w:numId="2" w16cid:durableId="1054740165">
    <w:abstractNumId w:val="2"/>
  </w:num>
  <w:num w:numId="3" w16cid:durableId="388455051">
    <w:abstractNumId w:val="5"/>
  </w:num>
  <w:num w:numId="4" w16cid:durableId="2002390126">
    <w:abstractNumId w:val="6"/>
  </w:num>
  <w:num w:numId="5" w16cid:durableId="1654212623">
    <w:abstractNumId w:val="8"/>
  </w:num>
  <w:num w:numId="6" w16cid:durableId="571894836">
    <w:abstractNumId w:val="3"/>
  </w:num>
  <w:num w:numId="7" w16cid:durableId="1576092046">
    <w:abstractNumId w:val="4"/>
  </w:num>
  <w:num w:numId="8" w16cid:durableId="2066836226">
    <w:abstractNumId w:val="0"/>
  </w:num>
  <w:num w:numId="9" w16cid:durableId="12326166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A3"/>
    <w:rsid w:val="00470FA3"/>
    <w:rsid w:val="006D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985B"/>
  <w15:chartTrackingRefBased/>
  <w15:docId w15:val="{868AC7E5-A51D-4776-BCE0-53215C93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1241</Words>
  <Characters>7074</Characters>
  <Application>Microsoft Office Word</Application>
  <DocSecurity>0</DocSecurity>
  <Lines>58</Lines>
  <Paragraphs>16</Paragraphs>
  <ScaleCrop>false</ScaleCrop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Camila Bonilla</dc:creator>
  <cp:keywords/>
  <dc:description/>
  <cp:lastModifiedBy>María Camila Bonilla</cp:lastModifiedBy>
  <cp:revision>1</cp:revision>
  <dcterms:created xsi:type="dcterms:W3CDTF">2025-12-22T02:16:00Z</dcterms:created>
  <dcterms:modified xsi:type="dcterms:W3CDTF">2025-12-22T02:18:00Z</dcterms:modified>
</cp:coreProperties>
</file>