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Etapas padrão V1: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Screening: Ao criar um Projeto, os sócios do Ativo deverão definir um prazo para a oferta ficar aberta. Podemos chamá-la de "Prazo da Oferta". Esta será uma janela de interesse, para o investidor aprofundar no ativo. Valor padrão sugerido: até 30 dias corridos. Isso forçará os investidores a ficarem de olho do sistema.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Teaser: Após clicar no card do Projeto, no Radar, o investidor terá 15 dias corridos para analisar o teaser. Este prazo NÃO PODE ultrapassar o Prazo de Oferta.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NDA: Uma vez analisado o teaser e tendo interesse em assinar o NDA, o prazo desta etapa é de até 15 dias.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Pré-DD/Q&amp;A: Prazo sugerido de até 30 dias corridos.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Term Sheet/ NBO: Prazo sugerido de 30 dias corridos.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DD/ SPA: Prazo sugerido de até 90 dias corridos.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Signing: Prazo sugerido de até 7 dias corridos.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CPs: Prazo sugerido de até 90 dias corridos.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Closing: Prazo sugerido de até 7 dias corridos.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Disclosure: Prazo sugerido de até 7 dias corridos.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Encerrado/Declinado: sem prazo definido.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