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CA374">
      <w:pPr>
        <w:spacing w:after="120"/>
        <w:jc w:val="center"/>
      </w:pPr>
      <w:r>
        <w:rPr>
          <w:rFonts w:ascii="Calibri" w:hAnsi="Calibri" w:eastAsia="微软雅黑"/>
          <w:b/>
          <w:color w:val="0B2545"/>
          <w:sz w:val="44"/>
        </w:rPr>
        <w:t>干实验 AI Agent 难点与应对技术可行性方案</w:t>
      </w:r>
    </w:p>
    <w:p w14:paraId="2F984215">
      <w:pPr>
        <w:spacing w:after="240"/>
        <w:jc w:val="center"/>
      </w:pPr>
      <w:r>
        <w:rPr>
          <w:rFonts w:ascii="Calibri" w:hAnsi="Calibri" w:eastAsia="微软雅黑"/>
          <w:color w:val="4B5563"/>
          <w:sz w:val="24"/>
        </w:rPr>
        <w:t>面向生物医学干实验自动化的系统建设建议</w:t>
      </w:r>
    </w:p>
    <w:tbl>
      <w:tblPr>
        <w:tblStyle w:val="32"/>
        <w:tblW w:w="9360" w:type="dxa"/>
        <w:tblInd w:w="120" w:type="dxa"/>
        <w:tblBorders>
          <w:top w:val="single" w:color="B7C9D8" w:sz="10" w:space="0"/>
          <w:left w:val="single" w:color="B7C9D8" w:sz="10" w:space="0"/>
          <w:bottom w:val="single" w:color="B7C9D8" w:sz="10" w:space="0"/>
          <w:right w:val="single" w:color="B7C9D8" w:sz="10" w:space="0"/>
          <w:insideH w:val="single" w:color="B7C9D8" w:sz="10" w:space="0"/>
          <w:insideV w:val="single" w:color="B7C9D8" w:sz="1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1315E89">
        <w:tc>
          <w:tcPr>
            <w:tcW w:w="93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3587E6">
            <w:pPr>
              <w:spacing w:after="80"/>
            </w:pPr>
            <w:bookmarkStart w:id="0" w:name="_GoBack"/>
            <w:bookmarkEnd w:id="0"/>
            <w:r>
              <w:rPr>
                <w:rFonts w:ascii="Calibri" w:hAnsi="Calibri" w:eastAsia="微软雅黑"/>
                <w:b/>
                <w:color w:val="0B2545"/>
                <w:sz w:val="22"/>
              </w:rPr>
              <w:t>核心结论</w:t>
            </w:r>
          </w:p>
          <w:p w14:paraId="2F1921C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基于干实验构建 AI Agent 具备较高可行性，但应定位为“受控工具编排 + 可复现分析 + 人工复核”的科研自动化系统，而不是完全自主给出生物学定论的聊天机器人。</w:t>
            </w:r>
          </w:p>
        </w:tc>
      </w:tr>
    </w:tbl>
    <w:p w14:paraId="26A24993"/>
    <w:p w14:paraId="36028258">
      <w:pPr>
        <w:pStyle w:val="3"/>
      </w:pPr>
      <w:r>
        <w:t>一、方案目标与适用边界</w:t>
      </w:r>
    </w:p>
    <w:p w14:paraId="060B1CFA">
      <w:r>
        <w:rPr>
          <w:rFonts w:ascii="Calibri" w:hAnsi="Calibri" w:eastAsia="微软雅黑"/>
          <w:b w:val="0"/>
          <w:color w:val="000000"/>
          <w:sz w:val="22"/>
        </w:rPr>
        <w:t>本方案面向生物医学干实验场景，目标是构建能够自动完成文献检索、公共数据库查询、组学数据分析、图表生成、报告撰写和湿实验验证建议的 AI Agent 系统。系统重点解决科研流程中重复性高、工具链分散、结果难复现和解释链条不完整的问题。</w:t>
      </w:r>
    </w:p>
    <w:p w14:paraId="462A60FF">
      <w:r>
        <w:rPr>
          <w:rFonts w:ascii="Calibri" w:hAnsi="Calibri" w:eastAsia="微软雅黑"/>
          <w:b w:val="0"/>
          <w:color w:val="000000"/>
          <w:sz w:val="22"/>
        </w:rPr>
        <w:t>边界上，该系统不应直接替代研究者做最终科学判断，也不应把统计相关性包装成确定性机制结论。更合理的定位是辅助研究者生成可追踪证据链、提出候选假设，并为后续湿实验验证提供优先级建议。</w:t>
      </w:r>
    </w:p>
    <w:p w14:paraId="7C88F60A">
      <w:pPr>
        <w:pStyle w:val="3"/>
      </w:pPr>
      <w:r>
        <w:t>二、技术可行性判断</w:t>
      </w:r>
    </w:p>
    <w:p w14:paraId="7A5213F2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干实验任务天然数字化：数据、文献、数据库、代码和分析流程都可以通过程序接口或命令行工具调用。</w:t>
      </w:r>
    </w:p>
    <w:p w14:paraId="48E023C4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生信工具链成熟：Python、R、DESeq2、limma、Scanpy、Seurat、clusterProfiler、Nextflow 和 Snakemake 已经形成稳定生态。</w:t>
      </w:r>
    </w:p>
    <w:p w14:paraId="2BAD297C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结果具备审计基础：输入数据、参数、软件版本、中间文件、日志和报告可以被完整记录，适合工程化治理。</w:t>
      </w:r>
    </w:p>
    <w:p w14:paraId="408F486A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推荐从窄场景 MVP 切入：优先选择 GEO/TCGA 差异表达与富集分析、TCGA 预后分析或单细胞 marker 分析。</w:t>
      </w:r>
    </w:p>
    <w:p w14:paraId="68396669">
      <w:pPr>
        <w:keepNext/>
        <w:spacing w:before="120"/>
        <w:jc w:val="center"/>
      </w:pPr>
      <w:r>
        <w:drawing>
          <wp:inline distT="0" distB="0" distL="114300" distR="114300">
            <wp:extent cx="5806440" cy="3870960"/>
            <wp:effectExtent l="0" t="0" r="1016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569C">
      <w:pPr>
        <w:spacing w:after="80"/>
        <w:jc w:val="center"/>
      </w:pPr>
      <w:r>
        <w:rPr>
          <w:rFonts w:ascii="Calibri" w:hAnsi="Calibri" w:eastAsia="微软雅黑"/>
          <w:b w:val="0"/>
          <w:color w:val="4B5563"/>
          <w:sz w:val="18"/>
        </w:rPr>
        <w:t>图 1  干实验 AI Agent 技术分析总览</w:t>
      </w:r>
    </w:p>
    <w:p w14:paraId="73E5C2FE">
      <w:pPr>
        <w:spacing w:after="200"/>
        <w:ind w:left="288" w:right="288"/>
      </w:pPr>
      <w:r>
        <w:rPr>
          <w:rFonts w:ascii="Calibri" w:hAnsi="Calibri" w:eastAsia="微软雅黑"/>
          <w:b w:val="0"/>
          <w:color w:val="374151"/>
          <w:sz w:val="20"/>
        </w:rPr>
        <w:t>图 1 展示了系统从研究问题理解、任务规划、数据调用、工具执行、结果解释到湿实验验证建议的闭环。该图强调 Agent 的价值不在单次问答，而在于把文献、数据库、计算工具和质量控制串成可复现流程。</w:t>
      </w:r>
    </w:p>
    <w:p w14:paraId="57A400C6">
      <w:pPr>
        <w:pStyle w:val="3"/>
      </w:pPr>
      <w:r>
        <w:t>三、推荐总体架构</w:t>
      </w:r>
    </w:p>
    <w:p w14:paraId="7BA648C5">
      <w:r>
        <w:rPr>
          <w:rFonts w:ascii="Calibri" w:hAnsi="Calibri" w:eastAsia="微软雅黑"/>
          <w:b w:val="0"/>
          <w:color w:val="000000"/>
          <w:sz w:val="22"/>
        </w:rPr>
        <w:t>系统建议采用分层架构。上层负责用户交互和研究场景，中层由 LLM 规划器进行任务拆解和工具选择，下层封装生信工具、工作流引擎和公共数据库。右侧可信治理能力贯穿全流程，用于控制权限、记录溯源、锁定版本、校验统计结果并保留日志。</w:t>
      </w:r>
    </w:p>
    <w:p w14:paraId="0118EFAC">
      <w:pPr>
        <w:keepNext/>
        <w:spacing w:before="120"/>
        <w:jc w:val="center"/>
      </w:pPr>
      <w:r>
        <w:drawing>
          <wp:inline distT="0" distB="0" distL="114300" distR="114300">
            <wp:extent cx="5806440" cy="3870960"/>
            <wp:effectExtent l="0" t="0" r="1016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32C9">
      <w:pPr>
        <w:spacing w:after="80"/>
        <w:jc w:val="center"/>
      </w:pPr>
      <w:r>
        <w:rPr>
          <w:rFonts w:ascii="Calibri" w:hAnsi="Calibri" w:eastAsia="微软雅黑"/>
          <w:b w:val="0"/>
          <w:color w:val="4B5563"/>
          <w:sz w:val="18"/>
        </w:rPr>
        <w:t>图 2  干实验 AI Agent 系统架构</w:t>
      </w:r>
    </w:p>
    <w:p w14:paraId="08EB9DC0">
      <w:pPr>
        <w:spacing w:after="200"/>
        <w:ind w:left="288" w:right="288"/>
      </w:pPr>
      <w:r>
        <w:rPr>
          <w:rFonts w:ascii="Calibri" w:hAnsi="Calibri" w:eastAsia="微软雅黑"/>
          <w:b w:val="0"/>
          <w:color w:val="374151"/>
          <w:sz w:val="20"/>
        </w:rPr>
        <w:t>图 2 的关键是把大模型限制在“规划、解释、协同”的位置，把真正的数据处理交给可测试、可复跑的工具层。这样既能发挥 LLM 的任务理解能力，也能降低自由生成带来的不可控风险。</w:t>
      </w:r>
    </w:p>
    <w:p w14:paraId="6DD7D7DA">
      <w:pPr>
        <w:pStyle w:val="3"/>
      </w:pPr>
      <w:r>
        <w:t>四、难点与应对技术方案</w:t>
      </w:r>
    </w:p>
    <w:p w14:paraId="4F9FACD9">
      <w:r>
        <w:rPr>
          <w:rFonts w:ascii="Calibri" w:hAnsi="Calibri" w:eastAsia="微软雅黑"/>
          <w:b w:val="0"/>
          <w:color w:val="000000"/>
          <w:sz w:val="22"/>
        </w:rPr>
        <w:t>干实验 AI Agent 的落地难点可以归纳为四类：数据难点、方法难点、Agent 难点和转化难点。四类问题分别对应数据可信度、统计可靠性、系统执行可靠性和科研转化边界。只有四类问题同时受控，系统输出才有实际科研价值。</w:t>
      </w:r>
    </w:p>
    <w:p w14:paraId="0CCE2F19">
      <w:pPr>
        <w:keepNext/>
        <w:spacing w:before="120"/>
        <w:jc w:val="center"/>
      </w:pPr>
      <w:r>
        <w:drawing>
          <wp:inline distT="0" distB="0" distL="114300" distR="114300">
            <wp:extent cx="5806440" cy="3870960"/>
            <wp:effectExtent l="0" t="0" r="1016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50A7">
      <w:pPr>
        <w:spacing w:after="80"/>
        <w:jc w:val="center"/>
      </w:pPr>
      <w:r>
        <w:rPr>
          <w:rFonts w:ascii="Calibri" w:hAnsi="Calibri" w:eastAsia="微软雅黑"/>
          <w:b w:val="0"/>
          <w:color w:val="4B5563"/>
          <w:sz w:val="18"/>
        </w:rPr>
        <w:t>图 3  难点、风险等级与工程治理闭环</w:t>
      </w:r>
    </w:p>
    <w:p w14:paraId="08D1E557">
      <w:pPr>
        <w:spacing w:after="200"/>
        <w:ind w:left="288" w:right="288"/>
      </w:pPr>
      <w:r>
        <w:rPr>
          <w:rFonts w:ascii="Calibri" w:hAnsi="Calibri" w:eastAsia="微软雅黑"/>
          <w:b w:val="0"/>
          <w:color w:val="374151"/>
          <w:sz w:val="20"/>
        </w:rPr>
        <w:t>图 3 将建设风险拆成四个象限，并给出风险分层和工程治理闭环。实际开发时，建议把“计划、执行、校验、复核、报告、追踪”固化为系统状态机，而不是仅依赖模型自行判断。</w:t>
      </w:r>
    </w:p>
    <w:p w14:paraId="14332B5C">
      <w:r>
        <w:br w:type="page"/>
      </w:r>
    </w:p>
    <w:p w14:paraId="31054A9A">
      <w:pPr>
        <w:pStyle w:val="4"/>
      </w:pPr>
      <w:r>
        <w:t>四类难点的工程化应对矩阵</w:t>
      </w:r>
    </w:p>
    <w:tbl>
      <w:tblPr>
        <w:tblStyle w:val="32"/>
        <w:tblW w:w="9360" w:type="dxa"/>
        <w:tblInd w:w="120" w:type="dxa"/>
        <w:tblBorders>
          <w:top w:val="single" w:color="B7C9D8" w:sz="8" w:space="0"/>
          <w:left w:val="single" w:color="B7C9D8" w:sz="8" w:space="0"/>
          <w:bottom w:val="single" w:color="B7C9D8" w:sz="8" w:space="0"/>
          <w:right w:val="single" w:color="B7C9D8" w:sz="8" w:space="0"/>
          <w:insideH w:val="single" w:color="B7C9D8" w:sz="8" w:space="0"/>
          <w:insideV w:val="single" w:color="B7C9D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2951"/>
        <w:gridCol w:w="3096"/>
        <w:gridCol w:w="1800"/>
      </w:tblGrid>
      <w:tr w14:paraId="616B5070">
        <w:trPr>
          <w:cantSplit/>
          <w:tblHeader/>
        </w:trPr>
        <w:tc>
          <w:tcPr>
            <w:tcW w:w="1512" w:type="dxa"/>
            <w:shd w:val="clear" w:color="auto" w:fill="E8EE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9EC141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难点类型</w:t>
            </w:r>
          </w:p>
        </w:tc>
        <w:tc>
          <w:tcPr>
            <w:tcW w:w="2951" w:type="dxa"/>
            <w:shd w:val="clear" w:color="auto" w:fill="E8EE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D0C42E"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主要风险</w:t>
            </w:r>
          </w:p>
        </w:tc>
        <w:tc>
          <w:tcPr>
            <w:tcW w:w="3096" w:type="dxa"/>
            <w:shd w:val="clear" w:color="auto" w:fill="E8EE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92AF42"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核心应对</w:t>
            </w:r>
          </w:p>
        </w:tc>
        <w:tc>
          <w:tcPr>
            <w:tcW w:w="1800" w:type="dxa"/>
            <w:shd w:val="clear" w:color="auto" w:fill="E8EE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95E321"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可交付物</w:t>
            </w:r>
          </w:p>
        </w:tc>
      </w:tr>
      <w:tr w14:paraId="4C05E49D">
        <w:trPr>
          <w:cantSplit/>
        </w:trPr>
        <w:tc>
          <w:tcPr>
            <w:tcW w:w="151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D72704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数据难点</w:t>
            </w:r>
          </w:p>
        </w:tc>
        <w:tc>
          <w:tcPr>
            <w:tcW w:w="295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522785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公共数据质量不一、批次效应、元数据缺失、数据库版本变化。</w:t>
            </w:r>
          </w:p>
        </w:tc>
        <w:tc>
          <w:tcPr>
            <w:tcW w:w="309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C6B4BA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建立 QC 流程、记录数据溯源、锁定数据库与注释版本。</w:t>
            </w:r>
          </w:p>
        </w:tc>
        <w:tc>
          <w:tcPr>
            <w:tcW w:w="18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CB9628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QC 报告、数据清单、版本记录</w:t>
            </w:r>
          </w:p>
        </w:tc>
      </w:tr>
      <w:tr w14:paraId="0942E99C">
        <w:trPr>
          <w:cantSplit/>
        </w:trPr>
        <w:tc>
          <w:tcPr>
            <w:tcW w:w="151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ED922D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方法难点</w:t>
            </w:r>
          </w:p>
        </w:tc>
        <w:tc>
          <w:tcPr>
            <w:tcW w:w="295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516FBD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统计假阳性、参数选择错误、模型过拟合、多组学整合复杂。</w:t>
            </w:r>
          </w:p>
        </w:tc>
        <w:tc>
          <w:tcPr>
            <w:tcW w:w="309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7A0543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预设分析方案、多重校正、交叉验证、基准数据集回归测试。</w:t>
            </w:r>
          </w:p>
        </w:tc>
        <w:tc>
          <w:tcPr>
            <w:tcW w:w="18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BAB251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分析计划、统计日志、模型评估报告</w:t>
            </w:r>
          </w:p>
        </w:tc>
      </w:tr>
      <w:tr w14:paraId="0AEF03C3">
        <w:trPr>
          <w:cantSplit/>
        </w:trPr>
        <w:tc>
          <w:tcPr>
            <w:tcW w:w="151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41B968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Agent 难点</w:t>
            </w:r>
          </w:p>
        </w:tc>
        <w:tc>
          <w:tcPr>
            <w:tcW w:w="295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167750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幻觉解释、工具调用失败、上下文丢失、任务规划偏差。</w:t>
            </w:r>
          </w:p>
        </w:tc>
        <w:tc>
          <w:tcPr>
            <w:tcW w:w="309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621042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工具白名单、结构化输出、自动校验器、关键节点人工复核。</w:t>
            </w:r>
          </w:p>
        </w:tc>
        <w:tc>
          <w:tcPr>
            <w:tcW w:w="18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B2959E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调用日志、校验结果、复核记录</w:t>
            </w:r>
          </w:p>
        </w:tc>
      </w:tr>
      <w:tr w14:paraId="271914F0">
        <w:trPr>
          <w:cantSplit/>
        </w:trPr>
        <w:tc>
          <w:tcPr>
            <w:tcW w:w="151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29F894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转化难点</w:t>
            </w:r>
          </w:p>
        </w:tc>
        <w:tc>
          <w:tcPr>
            <w:tcW w:w="295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5AB787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机制不确定、湿实验验证成本高、临床泛化不足、合规边界。</w:t>
            </w:r>
          </w:p>
        </w:tc>
        <w:tc>
          <w:tcPr>
            <w:tcW w:w="309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C54031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证据分级、验证优先级、审计记录、限制性声明。</w:t>
            </w:r>
          </w:p>
        </w:tc>
        <w:tc>
          <w:tcPr>
            <w:tcW w:w="18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2BE7ED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候选清单、验证建议、风险说明</w:t>
            </w:r>
          </w:p>
        </w:tc>
      </w:tr>
    </w:tbl>
    <w:p w14:paraId="3639CB34"/>
    <w:p w14:paraId="6156CD8D">
      <w:pPr>
        <w:pStyle w:val="4"/>
      </w:pPr>
      <w:r>
        <w:t>4.1 数据难点：质量、批次与溯源</w:t>
      </w:r>
    </w:p>
    <w:p w14:paraId="6FF1DD72">
      <w:r>
        <w:rPr>
          <w:rFonts w:ascii="Calibri" w:hAnsi="Calibri" w:eastAsia="微软雅黑"/>
          <w:b w:val="0"/>
          <w:color w:val="000000"/>
          <w:sz w:val="22"/>
        </w:rPr>
        <w:t>公共组学数据通常来自不同平台、不同实验批次和不同研究团队，样本分组、临床信息和注释文件也可能不完整。若 Agent 直接下载后自动分析，很容易把数据偏差误判为生物学差异。</w:t>
      </w:r>
    </w:p>
    <w:p w14:paraId="68FE4917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建立数据 QC 流程：检查样本数量、缺失值、表达分布、异常样本、分组一致性和批次信息。</w:t>
      </w:r>
    </w:p>
    <w:p w14:paraId="0A073526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记录数据溯源：保存数据库名称、数据集编号、下载时间、原始链接、注释版本和预处理脚本。</w:t>
      </w:r>
    </w:p>
    <w:p w14:paraId="2B9475AD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执行版本锁定：对参考基因组、基因注释、通路数据库和软件包版本进行固定。</w:t>
      </w:r>
    </w:p>
    <w:p w14:paraId="318C630C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处理批次效应：根据场景选择 ComBat、Harmony、Seurat Integration 或线性模型校正。</w:t>
      </w:r>
    </w:p>
    <w:p w14:paraId="4A9E82BC">
      <w:pPr>
        <w:pStyle w:val="4"/>
      </w:pPr>
      <w:r>
        <w:t>4.2 方法难点：统计可靠性与模型泛化</w:t>
      </w:r>
    </w:p>
    <w:p w14:paraId="338BED79">
      <w:r>
        <w:rPr>
          <w:rFonts w:ascii="Calibri" w:hAnsi="Calibri" w:eastAsia="微软雅黑"/>
          <w:b w:val="0"/>
          <w:color w:val="000000"/>
          <w:sz w:val="22"/>
        </w:rPr>
        <w:t>生物统计分析的主要风险是流程看起来完整，但统计设计并不成立。例如样本量不足、阈值随意选择、多重比较未校正、机器学习模型缺少验证集，都可能造成假阳性结论。</w:t>
      </w:r>
    </w:p>
    <w:p w14:paraId="031E3589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在任务开始前生成分析计划，明确数据选择、统计检验、阈值、排除标准和可接受输出。</w:t>
      </w:r>
    </w:p>
    <w:p w14:paraId="139EF62B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差异分析必须做多重检验校正，例如 FDR 或 Benjamini-Hochberg。</w:t>
      </w:r>
    </w:p>
    <w:p w14:paraId="1FA7AFD6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生存分析和机器学习建模应使用训练集/验证集划分、交叉验证或外部数据验证。</w:t>
      </w:r>
    </w:p>
    <w:p w14:paraId="395422BE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引入基准数据集和标准案例，对 Agent 输出做回归测试。</w:t>
      </w:r>
    </w:p>
    <w:p w14:paraId="088BFBFF">
      <w:pPr>
        <w:pStyle w:val="4"/>
      </w:pPr>
      <w:r>
        <w:t>4.3 Agent 难点：幻觉、工具失败与上下文漂移</w:t>
      </w:r>
    </w:p>
    <w:p w14:paraId="1A78D6FA">
      <w:r>
        <w:rPr>
          <w:rFonts w:ascii="Calibri" w:hAnsi="Calibri" w:eastAsia="微软雅黑"/>
          <w:b w:val="0"/>
          <w:color w:val="000000"/>
          <w:sz w:val="22"/>
        </w:rPr>
        <w:t>LLM 擅长理解意图和组织语言，但不适合作为无约束的科学结论生成器。系统必须把 Agent 的自由度限制在可验证范围内，并要求所有工具调用都留下结构化证据。</w:t>
      </w:r>
    </w:p>
    <w:p w14:paraId="00C63443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使用工具白名单，只允许调用经过封装、测试和权限控制的分析工具。</w:t>
      </w:r>
    </w:p>
    <w:p w14:paraId="49BB5F2C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工具返回结构化结果，包括 JSON、表格、图像路径、日志和错误码。</w:t>
      </w:r>
    </w:p>
    <w:p w14:paraId="5FF18544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建立自动校验器，检查样本维度、P 值范围、图表文件、模型指标和输出完整性。</w:t>
      </w:r>
    </w:p>
    <w:p w14:paraId="5057B4AC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对数据集选择、关键统计方案和最终结论设置人工确认节点。</w:t>
      </w:r>
    </w:p>
    <w:p w14:paraId="014F851B">
      <w:pPr>
        <w:pStyle w:val="4"/>
      </w:pPr>
      <w:r>
        <w:t>4.4 转化难点：从候选假设到湿实验验证</w:t>
      </w:r>
    </w:p>
    <w:p w14:paraId="068C48B7">
      <w:r>
        <w:rPr>
          <w:rFonts w:ascii="Calibri" w:hAnsi="Calibri" w:eastAsia="微软雅黑"/>
          <w:b w:val="0"/>
          <w:color w:val="000000"/>
          <w:sz w:val="22"/>
        </w:rPr>
        <w:t>干实验结果通常只能产生候选机制或候选靶点，不能直接证明因果关系。尤其涉及药物、疾病诊断和临床治疗时，必须明确研究边界和合规边界。</w:t>
      </w:r>
    </w:p>
    <w:p w14:paraId="7F80E0E5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将输出按证据等级分层，例如强证据候选、中等证据候选和探索性假设。</w:t>
      </w:r>
    </w:p>
    <w:p w14:paraId="5E25FD5D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为候选基因、通路或药物靶点生成验证优先级，并说明排序依据。</w:t>
      </w:r>
    </w:p>
    <w:p w14:paraId="710263AF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给出可执行湿实验建议，例如 qPCR、Western blot、敲降/过表达、细胞功能实验和动物模型。</w:t>
      </w:r>
    </w:p>
    <w:p w14:paraId="58B526E7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临床相关内容必须加入限制声明，避免被误用为诊断或治疗建议。</w:t>
      </w:r>
    </w:p>
    <w:p w14:paraId="488593C5">
      <w:pPr>
        <w:pStyle w:val="3"/>
      </w:pPr>
      <w:r>
        <w:t>五、MVP 建设路径</w:t>
      </w:r>
    </w:p>
    <w:p w14:paraId="4FD7B34B">
      <w:r>
        <w:rPr>
          <w:rFonts w:ascii="Calibri" w:hAnsi="Calibri" w:eastAsia="微软雅黑"/>
          <w:b w:val="0"/>
          <w:color w:val="000000"/>
          <w:sz w:val="22"/>
        </w:rPr>
        <w:t>建议第一阶段选择“GEO/TCGA 差异表达与富集分析 Agent”作为 MVP。该场景数据来源明确、工具链成熟、输出图表标准化程度高，适合验证 Agent 编排、工具调用、结果校验和报告生成能力。</w:t>
      </w:r>
    </w:p>
    <w:p w14:paraId="7CB95D6B">
      <w:pPr>
        <w:pStyle w:val="14"/>
      </w:pPr>
      <w:r>
        <w:rPr>
          <w:rFonts w:ascii="Calibri" w:hAnsi="Calibri" w:eastAsia="微软雅黑"/>
          <w:b w:val="0"/>
          <w:color w:val="000000"/>
          <w:sz w:val="22"/>
        </w:rPr>
        <w:t>用户输入研究问题，例如“分析肺癌中某基因相关差异表达和通路变化”。</w:t>
      </w:r>
    </w:p>
    <w:p w14:paraId="7BCDF604">
      <w:pPr>
        <w:pStyle w:val="14"/>
      </w:pPr>
      <w:r>
        <w:rPr>
          <w:rFonts w:ascii="Calibri" w:hAnsi="Calibri" w:eastAsia="微软雅黑"/>
          <w:b w:val="0"/>
          <w:color w:val="000000"/>
          <w:sz w:val="22"/>
        </w:rPr>
        <w:t>Agent 解析疾病、基因、数据来源、分组变量、分析类型和输出格式。</w:t>
      </w:r>
    </w:p>
    <w:p w14:paraId="191BAF9D">
      <w:pPr>
        <w:pStyle w:val="14"/>
      </w:pPr>
      <w:r>
        <w:rPr>
          <w:rFonts w:ascii="Calibri" w:hAnsi="Calibri" w:eastAsia="微软雅黑"/>
          <w:b w:val="0"/>
          <w:color w:val="000000"/>
          <w:sz w:val="22"/>
        </w:rPr>
        <w:t>系统检索并下载 GEO 或 TCGA 数据，生成数据清单和元数据摘要。</w:t>
      </w:r>
    </w:p>
    <w:p w14:paraId="4CD9C92A">
      <w:pPr>
        <w:pStyle w:val="14"/>
      </w:pPr>
      <w:r>
        <w:rPr>
          <w:rFonts w:ascii="Calibri" w:hAnsi="Calibri" w:eastAsia="微软雅黑"/>
          <w:b w:val="0"/>
          <w:color w:val="000000"/>
          <w:sz w:val="22"/>
        </w:rPr>
        <w:t>执行数据 QC、差异表达分析、GO/KEGG/Reactome 富集分析和可视化。</w:t>
      </w:r>
    </w:p>
    <w:p w14:paraId="5FF68A32">
      <w:pPr>
        <w:pStyle w:val="14"/>
      </w:pPr>
      <w:r>
        <w:rPr>
          <w:rFonts w:ascii="Calibri" w:hAnsi="Calibri" w:eastAsia="微软雅黑"/>
          <w:b w:val="0"/>
          <w:color w:val="000000"/>
          <w:sz w:val="22"/>
        </w:rPr>
        <w:t>生成 Markdown、HTML 或 DOCX 报告，并列出候选假设和湿实验验证建议。</w:t>
      </w:r>
    </w:p>
    <w:p w14:paraId="7CD5B4CD">
      <w:pPr>
        <w:pStyle w:val="14"/>
      </w:pPr>
      <w:r>
        <w:rPr>
          <w:rFonts w:ascii="Calibri" w:hAnsi="Calibri" w:eastAsia="微软雅黑"/>
          <w:b w:val="0"/>
          <w:color w:val="000000"/>
          <w:sz w:val="22"/>
        </w:rPr>
        <w:t>研究者复核数据、方法和解释，必要时一键复跑或调整参数。</w:t>
      </w:r>
    </w:p>
    <w:tbl>
      <w:tblPr>
        <w:tblStyle w:val="32"/>
        <w:tblW w:w="9360" w:type="dxa"/>
        <w:tblInd w:w="120" w:type="dxa"/>
        <w:tblBorders>
          <w:top w:val="single" w:color="B7C9D8" w:sz="8" w:space="0"/>
          <w:left w:val="single" w:color="B7C9D8" w:sz="8" w:space="0"/>
          <w:bottom w:val="single" w:color="B7C9D8" w:sz="8" w:space="0"/>
          <w:right w:val="single" w:color="B7C9D8" w:sz="8" w:space="0"/>
          <w:insideH w:val="single" w:color="B7C9D8" w:sz="8" w:space="0"/>
          <w:insideV w:val="single" w:color="B7C9D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2592"/>
        <w:gridCol w:w="3384"/>
        <w:gridCol w:w="2160"/>
      </w:tblGrid>
      <w:tr w14:paraId="5C4E2777">
        <w:trPr>
          <w:cantSplit/>
          <w:tblHeader/>
        </w:trPr>
        <w:tc>
          <w:tcPr>
            <w:tcW w:w="1224" w:type="dxa"/>
            <w:shd w:val="clear" w:color="auto" w:fill="E8EE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49CAD3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阶段</w:t>
            </w:r>
          </w:p>
        </w:tc>
        <w:tc>
          <w:tcPr>
            <w:tcW w:w="2592" w:type="dxa"/>
            <w:shd w:val="clear" w:color="auto" w:fill="E8EE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CB48F5"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目标</w:t>
            </w:r>
          </w:p>
        </w:tc>
        <w:tc>
          <w:tcPr>
            <w:tcW w:w="3384" w:type="dxa"/>
            <w:shd w:val="clear" w:color="auto" w:fill="E8EE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9D2086"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关键任务</w:t>
            </w:r>
          </w:p>
        </w:tc>
        <w:tc>
          <w:tcPr>
            <w:tcW w:w="2160" w:type="dxa"/>
            <w:shd w:val="clear" w:color="auto" w:fill="E8EE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7AAA6F"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验收标准</w:t>
            </w:r>
          </w:p>
        </w:tc>
      </w:tr>
      <w:tr w14:paraId="202381C6">
        <w:trPr>
          <w:cantSplit/>
        </w:trPr>
        <w:tc>
          <w:tcPr>
            <w:tcW w:w="122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8C5165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MVP</w:t>
            </w:r>
          </w:p>
        </w:tc>
        <w:tc>
          <w:tcPr>
            <w:tcW w:w="259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887381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完成一个可闭环的 GEO/TCGA 差异表达与富集分析 Agent。</w:t>
            </w:r>
          </w:p>
        </w:tc>
        <w:tc>
          <w:tcPr>
            <w:tcW w:w="33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40C73D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数据检索、QC、差异分析、富集分析、图表和报告生成。</w:t>
            </w:r>
          </w:p>
        </w:tc>
        <w:tc>
          <w:tcPr>
            <w:tcW w:w="216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89052F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同一输入可复跑；图表和统计结果可追踪。</w:t>
            </w:r>
          </w:p>
        </w:tc>
      </w:tr>
      <w:tr w14:paraId="53302617">
        <w:trPr>
          <w:cantSplit/>
        </w:trPr>
        <w:tc>
          <w:tcPr>
            <w:tcW w:w="122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3F4194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扩展</w:t>
            </w:r>
          </w:p>
        </w:tc>
        <w:tc>
          <w:tcPr>
            <w:tcW w:w="259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65233A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增加单细胞、蛋白组、药物靶点等模块。</w:t>
            </w:r>
          </w:p>
        </w:tc>
        <w:tc>
          <w:tcPr>
            <w:tcW w:w="33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00D833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引入更多工具封装、RAG 知识库和工作流模板。</w:t>
            </w:r>
          </w:p>
        </w:tc>
        <w:tc>
          <w:tcPr>
            <w:tcW w:w="216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E57E93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模块可组合；错误可定位；报告格式稳定。</w:t>
            </w:r>
          </w:p>
        </w:tc>
      </w:tr>
      <w:tr w14:paraId="6351B79C">
        <w:trPr>
          <w:cantSplit/>
        </w:trPr>
        <w:tc>
          <w:tcPr>
            <w:tcW w:w="1224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E771B1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治理</w:t>
            </w:r>
          </w:p>
        </w:tc>
        <w:tc>
          <w:tcPr>
            <w:tcW w:w="259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747443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形成面向团队使用的可信科研助手。</w:t>
            </w:r>
          </w:p>
        </w:tc>
        <w:tc>
          <w:tcPr>
            <w:tcW w:w="33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FED720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权限控制、审计日志、版本锁定、人工复核和方法学规范。</w:t>
            </w:r>
          </w:p>
        </w:tc>
        <w:tc>
          <w:tcPr>
            <w:tcW w:w="216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24FBE6"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关键结论区分事实、统计结果、推测和验证建议。</w:t>
            </w:r>
          </w:p>
        </w:tc>
      </w:tr>
    </w:tbl>
    <w:p w14:paraId="486A8E8B"/>
    <w:p w14:paraId="654E9865">
      <w:pPr>
        <w:pStyle w:val="3"/>
      </w:pPr>
      <w:r>
        <w:t>六、技术栈建议</w:t>
      </w:r>
    </w:p>
    <w:p w14:paraId="5B28BB05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后端与任务服务：Python FastAPI、Celery/RQ、PostgreSQL、对象存储或本地文件仓库。</w:t>
      </w:r>
    </w:p>
    <w:p w14:paraId="7C747076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分析环境：Python + R，配套 Conda/Docker 环境锁定。</w:t>
      </w:r>
    </w:p>
    <w:p w14:paraId="14262B21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生信工具：DESeq2、limma、edgeR、clusterProfiler、Scanpy、Seurat、lifelines。</w:t>
      </w:r>
    </w:p>
    <w:p w14:paraId="0EBAA9C4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工作流编排：Snakemake 或 Nextflow，用于复杂流程、任务重试和中间产物管理。</w:t>
      </w:r>
    </w:p>
    <w:p w14:paraId="7FBDFF3F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知识库与 RAG：PubMed 文献、数据库说明、方法学规范、团队 SOP 和历史项目报告。</w:t>
      </w:r>
    </w:p>
    <w:p w14:paraId="678274FE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治理与审计：MLflow、DVC 或自定义日志，记录参数、版本、文件哈希、工具输出和人工复核意见。</w:t>
      </w:r>
    </w:p>
    <w:p w14:paraId="00A5A297">
      <w:pPr>
        <w:pStyle w:val="3"/>
      </w:pPr>
      <w:r>
        <w:t>七、关键验收指标</w:t>
      </w:r>
    </w:p>
    <w:p w14:paraId="4E32B803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同一输入在相同版本环境下可以复跑，并得到一致的关键结果。</w:t>
      </w:r>
    </w:p>
    <w:p w14:paraId="2A0C751C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所有数据来源、参数、软件版本和中间文件均可追踪。</w:t>
      </w:r>
    </w:p>
    <w:p w14:paraId="5EF2C3F0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图表自动生成且与统计结果一致，失败任务能够定位原因。</w:t>
      </w:r>
    </w:p>
    <w:p w14:paraId="58643E1E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结论明确区分事实、统计结果、模型推测和验证建议。</w:t>
      </w:r>
    </w:p>
    <w:p w14:paraId="462CD54A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关键节点支持人工复核，复核意见会进入最终审计记录。</w:t>
      </w:r>
    </w:p>
    <w:p w14:paraId="73EEC254">
      <w:pPr>
        <w:pStyle w:val="16"/>
        <w:ind w:left="540" w:hanging="279"/>
      </w:pPr>
      <w:r>
        <w:rPr>
          <w:rFonts w:ascii="Calibri" w:hAnsi="Calibri" w:eastAsia="微软雅黑"/>
          <w:b w:val="0"/>
          <w:color w:val="000000"/>
          <w:sz w:val="22"/>
        </w:rPr>
        <w:t>临床或药物相关输出带有清晰限制说明，不直接给出诊疗建议。</w:t>
      </w:r>
    </w:p>
    <w:p w14:paraId="531394BC">
      <w:pPr>
        <w:pStyle w:val="3"/>
      </w:pPr>
      <w:r>
        <w:t>八、结论</w:t>
      </w:r>
    </w:p>
    <w:p w14:paraId="646B3C89">
      <w:r>
        <w:rPr>
          <w:rFonts w:ascii="Calibri" w:hAnsi="Calibri" w:eastAsia="微软雅黑"/>
          <w:b w:val="0"/>
          <w:color w:val="000000"/>
          <w:sz w:val="22"/>
        </w:rPr>
        <w:t>干实验 AI Agent 的建设具备明确价值和工程可行性。最稳妥的路线是先建设固定流程的自动化分析系统，再逐步扩展数据库、分析模块和 Agent 自主规划能力。早期核心价值不在于自动发现重大生物学机制，而在于标准化分析流程、提升效率、减少重复劳动、沉淀可复现证据链，并辅助科研人员形成可验证假设。</w:t>
      </w:r>
    </w:p>
    <w:tbl>
      <w:tblPr>
        <w:tblStyle w:val="32"/>
        <w:tblW w:w="9360" w:type="dxa"/>
        <w:tblInd w:w="120" w:type="dxa"/>
        <w:tblBorders>
          <w:top w:val="single" w:color="D69E2E" w:sz="10" w:space="0"/>
          <w:left w:val="single" w:color="D69E2E" w:sz="10" w:space="0"/>
          <w:bottom w:val="single" w:color="D69E2E" w:sz="10" w:space="0"/>
          <w:right w:val="single" w:color="D69E2E" w:sz="10" w:space="0"/>
          <w:insideH w:val="single" w:color="D69E2E" w:sz="10" w:space="0"/>
          <w:insideV w:val="single" w:color="D69E2E" w:sz="1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E66DD84">
        <w:tc>
          <w:tcPr>
            <w:tcW w:w="9360" w:type="dxa"/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99F4B">
            <w:pPr>
              <w:spacing w:after="80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>落地建议</w:t>
            </w:r>
          </w:p>
          <w:p w14:paraId="12FB356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以 GEO/TCGA 差异表达与富集分析为 MVP，优先把数据溯源、参数审计、版本锁定、统计校验和人工复核做扎实，再扩展到单细胞、多组学、药物靶点和分子对接场景。</w:t>
            </w:r>
          </w:p>
        </w:tc>
      </w:tr>
    </w:tbl>
    <w:p w14:paraId="15EE5E36"/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E12AF">
    <w:pPr>
      <w:pStyle w:val="24"/>
      <w:jc w:val="right"/>
    </w:pPr>
    <w:r>
      <w:rPr>
        <w:rFonts w:ascii="Calibri" w:hAnsi="Calibri" w:eastAsia="微软雅黑"/>
        <w:color w:val="6B7280"/>
        <w:sz w:val="18"/>
      </w:rPr>
      <w:fldChar w:fldCharType="begin"/>
    </w:r>
    <w:r>
      <w:rPr>
        <w:rFonts w:ascii="Calibri" w:hAnsi="Calibri" w:eastAsia="微软雅黑"/>
        <w:color w:val="6B7280"/>
        <w:sz w:val="18"/>
      </w:rPr>
      <w:instrText xml:space="preserve">PAGE</w:instrText>
    </w:r>
    <w:r>
      <w:rPr>
        <w:rFonts w:ascii="Calibri" w:hAnsi="Calibri" w:eastAsia="微软雅黑"/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0" w:lineRule="auto"/>
      </w:pPr>
      <w:r>
        <w:separator/>
      </w:r>
    </w:p>
  </w:footnote>
  <w:footnote w:type="continuationSeparator" w:id="1">
    <w:p>
      <w:pPr>
        <w:spacing w:before="0" w:after="0" w:line="32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AE4B99">
    <w:pPr>
      <w:pStyle w:val="25"/>
      <w:jc w:val="left"/>
    </w:pPr>
    <w:r>
      <w:rPr>
        <w:rFonts w:ascii="Calibri" w:hAnsi="Calibri" w:eastAsia="微软雅黑"/>
        <w:b w:val="0"/>
        <w:color w:val="6B7280"/>
        <w:sz w:val="18"/>
      </w:rPr>
      <w:t>干实验 AI Agent 难点与应对技术可行性方案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BDD89C"/>
    <w:rsid w:val="7DDAE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20" w:lineRule="auto"/>
      <w:jc w:val="both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90" w:lineRule="auto"/>
      <w:ind w:left="540" w:hanging="279"/>
      <w:contextualSpacing/>
    </w:pPr>
    <w:rPr>
      <w:rFonts w:ascii="Calibri" w:hAnsi="Calibri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90" w:lineRule="auto"/>
      <w:ind w:left="540" w:hanging="279"/>
      <w:contextualSpacing/>
    </w:pPr>
    <w:rPr>
      <w:rFonts w:ascii="Calibri" w:hAnsi="Calibri" w:eastAsia="微软雅黑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袁氏天方脸</cp:lastModifiedBy>
  <dcterms:modified xsi:type="dcterms:W3CDTF">2026-06-09T22:25:20Z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17764FB61C43FAC25022286A3B6DA8AD_43</vt:lpwstr>
  </property>
</Properties>
</file>