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Support Ticket Platform</w:t>
      </w:r>
    </w:p>
    <w:p>
      <w:pPr>
        <w:jc w:val="center"/>
      </w:pPr>
      <w:r>
        <w:t>Week 4 - RAG Analysis and Azure Managed Redis Semantic Cache</w:t>
      </w:r>
    </w:p>
    <w:p>
      <w:pPr>
        <w:jc w:val="center"/>
      </w:pPr>
      <w:r>
        <w:t>Implementation Summary</w:t>
      </w:r>
    </w:p>
    <w:p>
      <w:pPr>
        <w:pStyle w:val="Heading1"/>
      </w:pPr>
      <w:r>
        <w:t>1. Objective</w:t>
      </w:r>
    </w:p>
    <w:p>
      <w:r>
        <w:t>The Week 4 objective was to extend the semantic retrieval foundation from Week 3 with Retrieval-Augmented Generation (RAG) and semantic caching. A support agent can now request an AI-generated ticket analysis based on similar resolved cases, while Azure Managed Redis can reuse recent similarity-search results before PostgreSQL + pgvector is queried.</w:t>
      </w:r>
    </w:p>
    <w:p>
      <w:r>
        <w:t>The implementation deliberately keeps PostgreSQL + pgvector as the authoritative similarity engine. Redis is an optimization layer, and the generated analysis is persisted separately from the Ticket entity.</w:t>
      </w:r>
    </w:p>
    <w:p>
      <w:pPr>
        <w:pStyle w:val="Heading1"/>
      </w:pPr>
      <w:r>
        <w:t>2. Architecture</w:t>
      </w:r>
    </w:p>
    <w:p>
      <w:r>
        <w:t>The Week 4 runtime flow is:</w:t>
      </w:r>
    </w:p>
    <w:p>
      <w:pPr>
        <w:jc w:val="left"/>
      </w:pPr>
      <w:r>
        <w:t>Support Agent</w:t>
        <w:br/>
        <w:t xml:space="preserve">    ↓</w:t>
        <w:br/>
        <w:t>POST /api/tickets/{ticketId}/analysis</w:t>
        <w:br/>
        <w:t xml:space="preserve">    ↓</w:t>
        <w:br/>
        <w:t>SupportTicketPlatform.Api</w:t>
        <w:br/>
        <w:t xml:space="preserve">    ↓  TicketAnalysisRequested</w:t>
        <w:br/>
        <w:t>Azure Service Bus - ticket-analysis queue</w:t>
        <w:br/>
        <w:t xml:space="preserve">    ↓</w:t>
        <w:br/>
        <w:t>TicketAnalysisWorker</w:t>
        <w:br/>
        <w:t xml:space="preserve">    ↓</w:t>
        <w:br/>
        <w:t>Ticket + embedding</w:t>
        <w:br/>
        <w:t xml:space="preserve">    ↓</w:t>
        <w:br/>
        <w:t>Redis semantic cache</w:t>
        <w:br/>
        <w:t xml:space="preserve">    ↓ miss</w:t>
        <w:br/>
        <w:t>PostgreSQL + pgvector similarity search</w:t>
        <w:br/>
        <w:t xml:space="preserve">    ↓</w:t>
        <w:br/>
        <w:t>Similar resolved tickets + resolutions</w:t>
        <w:br/>
        <w:t xml:space="preserve">    ↓</w:t>
        <w:br/>
        <w:t>Azure OpenAI RAG generation</w:t>
        <w:br/>
        <w:t xml:space="preserve">    ↓</w:t>
        <w:br/>
        <w:t>PostgreSQL TicketAnalysis</w:t>
      </w:r>
    </w:p>
    <w:p>
      <w:r>
        <w:t>The API accepts the analysis request asynchronously. The Worker performs retrieval and generation, then persists the generated analysis. Similarity retrieval is shared with the existing search functionality and is accelerated by Redis when a sufficiently similar cached search is available.</w:t>
      </w:r>
    </w:p>
    <w:p>
      <w:pPr>
        <w:pStyle w:val="Heading1"/>
      </w:pPr>
      <w:r>
        <w:t>3. Analysis Domain Model and Persistence</w:t>
      </w:r>
    </w:p>
    <w:p>
      <w:r>
        <w:t>The generated AI result is stored in a dedicated TicketAnalysis entity rather than being added directly to Ticket.</w:t>
      </w:r>
    </w:p>
    <w:p>
      <w:pPr>
        <w:pStyle w:val="ListBullet"/>
      </w:pPr>
      <w:r>
        <w:t>Ticket has an optional TicketAnalysis navigation property.</w:t>
      </w:r>
    </w:p>
    <w:p>
      <w:pPr>
        <w:pStyle w:val="ListBullet"/>
      </w:pPr>
      <w:r>
        <w:t>TicketAnalysis contains TicketId, Content, CreatedAt, LastModifiedAt, and a back-reference to Ticket.</w:t>
      </w:r>
    </w:p>
    <w:p>
      <w:pPr>
        <w:pStyle w:val="ListBullet"/>
      </w:pPr>
      <w:r>
        <w:t>Ticket and TicketAnalysis use a one-to-one relationship.</w:t>
      </w:r>
    </w:p>
    <w:p>
      <w:pPr>
        <w:pStyle w:val="ListBullet"/>
      </w:pPr>
      <w:r>
        <w:t>TicketAnalysis.TicketId has a unique index and cascade delete is configured.</w:t>
      </w:r>
    </w:p>
    <w:p>
      <w:pPr>
        <w:pStyle w:val="ListBullet"/>
      </w:pPr>
      <w:r>
        <w:t>A dedicated EF Core migration added the TicketAnalyses table.</w:t>
      </w:r>
    </w:p>
    <w:p>
      <w:r>
        <w:t>This keeps the generated analysis lifecycle separate from the original ticket and from the human-provided Resolution knowledge base.</w:t>
      </w:r>
    </w:p>
    <w:p>
      <w:pPr>
        <w:pStyle w:val="Heading1"/>
      </w:pPr>
      <w:r>
        <w:t>4. Asynchronous Analysis Request</w:t>
      </w:r>
    </w:p>
    <w:p>
      <w:r>
        <w:t>POST /api/tickets/{ticketId}/analysis was implemented as the explicit action that starts analysis generation.</w:t>
      </w:r>
    </w:p>
    <w:p>
      <w:pPr>
        <w:pStyle w:val="ListBullet"/>
      </w:pPr>
      <w:r>
        <w:t>AnalyzeTicketCommand represents the application request.</w:t>
      </w:r>
    </w:p>
    <w:p>
      <w:pPr>
        <w:pStyle w:val="ListBullet"/>
      </w:pPr>
      <w:r>
        <w:t>TicketAnalysisRequested is published to the ticket-analysis Azure Service Bus queue.</w:t>
      </w:r>
    </w:p>
    <w:p>
      <w:pPr>
        <w:pStyle w:val="ListBullet"/>
      </w:pPr>
      <w:r>
        <w:t>The API returns HTTP 202 Accepted rather than waiting for Azure OpenAI generation.</w:t>
      </w:r>
    </w:p>
    <w:p>
      <w:pPr>
        <w:pStyle w:val="ListBullet"/>
      </w:pPr>
      <w:r>
        <w:t>TicketAnalysisWorker consumes the request and invokes the analysis handler.</w:t>
      </w:r>
    </w:p>
    <w:p>
      <w:pPr>
        <w:pStyle w:val="ListBullet"/>
      </w:pPr>
      <w:r>
        <w:t>GET /api/tickets/{ticketId}/analysis returns the persisted analysis when it is available.</w:t>
      </w:r>
    </w:p>
    <w:p>
      <w:r>
        <w:t>This preserves the asynchronous architecture introduced in Week 2 and avoids keeping an HTTP request open while retrieval and generative AI work is performed.</w:t>
      </w:r>
    </w:p>
    <w:p>
      <w:pPr>
        <w:pStyle w:val="Heading1"/>
      </w:pPr>
      <w:r>
        <w:t>5. RAG Analysis Pipeline</w:t>
      </w:r>
    </w:p>
    <w:p>
      <w:r>
        <w:t>AnalyzeTicketHandler implements a deterministic RAG pipeline rather than an autonomous agent workflow.</w:t>
      </w:r>
    </w:p>
    <w:p>
      <w:pPr>
        <w:jc w:val="left"/>
      </w:pPr>
      <w:r>
        <w:t>Current Ticket</w:t>
        <w:br/>
        <w:t xml:space="preserve">    ↓</w:t>
        <w:br/>
        <w:t>Use existing embedding or generate one</w:t>
        <w:br/>
        <w:t xml:space="preserve">    ↓</w:t>
        <w:br/>
        <w:t>Retrieve similar resolved tickets</w:t>
        <w:br/>
        <w:t xml:space="preserve">    ↓</w:t>
        <w:br/>
        <w:t>Build context from resolved cases</w:t>
        <w:br/>
        <w:t xml:space="preserve">    ↓</w:t>
        <w:br/>
        <w:t>Azure OpenAI chat generation</w:t>
        <w:br/>
        <w:t xml:space="preserve">    ↓</w:t>
        <w:br/>
        <w:t>Persist TicketAnalysis</w:t>
      </w:r>
    </w:p>
    <w:p>
      <w:r>
        <w:t>The retrieval context contains previously resolved tickets and their resolutions. The Azure OpenAI system prompt requires the generated analysis to stay grounded in the supplied cases and reference case identifiers instead of inventing unsupported information.</w:t>
      </w:r>
    </w:p>
    <w:p>
      <w:r>
        <w:t>The Azure OpenAI ChatClient and EmbeddingClient are registered as reusable singleton clients. Authentication uses DefaultAzureCredential and the Azure AI scope rather than application-managed API keys.</w:t>
      </w:r>
    </w:p>
    <w:p>
      <w:pPr>
        <w:pStyle w:val="Heading1"/>
      </w:pPr>
      <w:r>
        <w:t>6. Azure Managed Redis</w:t>
      </w:r>
    </w:p>
    <w:p>
      <w:r>
        <w:t>Azure Managed Redis was introduced as a semantic cache in front of PostgreSQL similarity search. The cache stores the embedding used for a search together with the resulting resolved Ticket objects.</w:t>
      </w:r>
    </w:p>
    <w:p>
      <w:pPr>
        <w:pStyle w:val="ListBullet"/>
      </w:pPr>
      <w:r>
        <w:t>Azure Managed Redis was provisioned in Poland Central.</w:t>
      </w:r>
    </w:p>
    <w:p>
      <w:pPr>
        <w:pStyle w:val="ListBullet"/>
      </w:pPr>
      <w:r>
        <w:t>Redis Search is enabled and a vector index is created for cached similarity searches.</w:t>
      </w:r>
    </w:p>
    <w:p>
      <w:pPr>
        <w:pStyle w:val="ListBullet"/>
      </w:pPr>
      <w:r>
        <w:t>Cached entries use Redis HASH storage with the key prefix tickets:similar:.</w:t>
      </w:r>
    </w:p>
    <w:p>
      <w:pPr>
        <w:pStyle w:val="ListBullet"/>
      </w:pPr>
      <w:r>
        <w:t>Embeddings are stored as FLOAT32 vectors with 1536 dimensions.</w:t>
      </w:r>
    </w:p>
    <w:p>
      <w:pPr>
        <w:pStyle w:val="ListBullet"/>
      </w:pPr>
      <w:r>
        <w:t>The vector index uses COSINE distance.</w:t>
      </w:r>
    </w:p>
    <w:p>
      <w:pPr>
        <w:pStyle w:val="ListBullet"/>
      </w:pPr>
      <w:r>
        <w:t>Cached entries expire after 15 minutes.</w:t>
      </w:r>
    </w:p>
    <w:p>
      <w:pPr>
        <w:pStyle w:val="ListBullet"/>
      </w:pPr>
      <w:r>
        <w:t>The semantic similarity threshold is 0.85.</w:t>
      </w:r>
    </w:p>
    <w:p>
      <w:r>
        <w:t>Redis authentication uses Microsoft Entra ID with DefaultAzureCredential. Local development access was configured through a Redis data access policy.</w:t>
      </w:r>
    </w:p>
    <w:p>
      <w:pPr>
        <w:pStyle w:val="Heading1"/>
      </w:pPr>
      <w:r>
        <w:t>7. Redis Vector Index and Serialization</w:t>
      </w:r>
    </w:p>
    <w:p>
      <w:r>
        <w:t>The application creates the Redis Search index if it does not already exist. The index is configured over HASH entries and indexes the embedding field as a FLAT vector.</w:t>
      </w:r>
    </w:p>
    <w:p>
      <w:r>
        <w:t>The cache intentionally stores the existing Ticket domain objects instead of introducing a duplicate cache DTO model. Two serialization issues had to be handled:</w:t>
      </w:r>
    </w:p>
    <w:p>
      <w:pPr>
        <w:pStyle w:val="ListBullet"/>
      </w:pPr>
      <w:r>
        <w:t>ReferenceHandler.IgnoreCycles prevents the Ticket -&gt; Resolution -&gt; Ticket navigation cycle from breaking JSON serialization.</w:t>
      </w:r>
    </w:p>
    <w:p>
      <w:pPr>
        <w:pStyle w:val="ListBullet"/>
      </w:pPr>
      <w:r>
        <w:t>A custom VectorJsonConverter serializes Pgvector.Vector as a float array and reconstructs it during deserialization.</w:t>
      </w:r>
    </w:p>
    <w:p>
      <w:r>
        <w:t>This allows cached Ticket results to be reused by both the API similarity endpoint and the Worker RAG pipeline.</w:t>
      </w:r>
    </w:p>
    <w:p>
      <w:pPr>
        <w:pStyle w:val="Heading1"/>
      </w:pPr>
      <w:r>
        <w:t>8. Semantic Cache-Aside Flow</w:t>
      </w:r>
    </w:p>
    <w:p>
      <w:r>
        <w:t>Similarity retrieval follows a cache-aside strategy.</w:t>
      </w:r>
    </w:p>
    <w:p>
      <w:pPr>
        <w:jc w:val="left"/>
      </w:pPr>
      <w:r>
        <w:t>Similarity request</w:t>
        <w:br/>
        <w:t xml:space="preserve">    ↓</w:t>
        <w:br/>
        <w:t>Exact Redis lookup when a source TicketId is available</w:t>
        <w:br/>
        <w:t xml:space="preserve">    ↓ miss</w:t>
        <w:br/>
        <w:t>Redis vector similarity lookup</w:t>
        <w:br/>
        <w:t xml:space="preserve">    ↓ miss</w:t>
        <w:br/>
        <w:t>PostgreSQL + pgvector authoritative query</w:t>
        <w:br/>
        <w:t xml:space="preserve">    ↓</w:t>
        <w:br/>
        <w:t>Store result in Redis with TTL</w:t>
        <w:br/>
        <w:t xml:space="preserve">    ↓</w:t>
        <w:br/>
        <w:t>Return similar resolved tickets</w:t>
      </w:r>
    </w:p>
    <w:p>
      <w:r>
        <w:t>For ticket-ID based searches, the source ticket ID is also used as a deterministic Redis key, allowing a direct cache lookup before vector search. For arbitrary text searches there is no source ticket ID, so the flow starts with semantic Redis lookup. On a miss, PostgreSQL + pgvector performs the similarity query and the result is cached under a generated key.</w:t>
      </w:r>
    </w:p>
    <w:p>
      <w:pPr>
        <w:pStyle w:val="Heading1"/>
      </w:pPr>
      <w:r>
        <w:t>9. Similar Ticket Search from Arbitrary Text</w:t>
      </w:r>
    </w:p>
    <w:p>
      <w:r>
        <w:t>A new POST /api/tickets/similar endpoint was added so similarity search is not limited to an already persisted ticket.</w:t>
      </w:r>
    </w:p>
    <w:p>
      <w:pPr>
        <w:pStyle w:val="ListBullet"/>
      </w:pPr>
      <w:r>
        <w:t>GetSimilarTicketsByTextQuery accepts arbitrary input text and a configurable result limit.</w:t>
      </w:r>
    </w:p>
    <w:p>
      <w:pPr>
        <w:pStyle w:val="ListBullet"/>
      </w:pPr>
      <w:r>
        <w:t>The input text is converted to an embedding with the existing embedding service.</w:t>
      </w:r>
    </w:p>
    <w:p>
      <w:pPr>
        <w:pStyle w:val="ListBullet"/>
      </w:pPr>
      <w:r>
        <w:t>The existing similarity retrieval flow is reused rather than duplicating Redis or pgvector logic.</w:t>
      </w:r>
    </w:p>
    <w:p>
      <w:pPr>
        <w:pStyle w:val="ListBullet"/>
      </w:pPr>
      <w:r>
        <w:t>Semantic Redis lookup is attempted first because there is no source TicketId.</w:t>
      </w:r>
    </w:p>
    <w:p>
      <w:pPr>
        <w:pStyle w:val="ListBullet"/>
      </w:pPr>
      <w:r>
        <w:t>On a cache miss, PostgreSQL searches only resolved tickets that have both an embedding and a Resolution.</w:t>
      </w:r>
    </w:p>
    <w:p>
      <w:pPr>
        <w:pStyle w:val="ListBullet"/>
      </w:pPr>
      <w:r>
        <w:t>Returned results include the ticket, its resolution, and cosine similarity calculated against the current input embedding.</w:t>
      </w:r>
    </w:p>
    <w:p>
      <w:r>
        <w:t>POST is used because the search input can be a longer support-ticket description and is naturally supplied in the request body.</w:t>
      </w:r>
    </w:p>
    <w:p>
      <w:pPr>
        <w:pStyle w:val="Heading1"/>
      </w:pPr>
      <w:r>
        <w:t>10. PostgreSQL + pgvector as Authoritative Retrieval</w:t>
      </w:r>
    </w:p>
    <w:p>
      <w:r>
        <w:t>Redis does not replace the Week 3 vector database query. When the semantic cache cannot provide a reusable result, PostgreSQL executes the authoritative similarity search.</w:t>
      </w:r>
    </w:p>
    <w:p>
      <w:pPr>
        <w:pStyle w:val="ListBullet"/>
      </w:pPr>
      <w:r>
        <w:t>Only TicketStatus.Resolved tickets are considered.</w:t>
      </w:r>
    </w:p>
    <w:p>
      <w:pPr>
        <w:pStyle w:val="ListBullet"/>
      </w:pPr>
      <w:r>
        <w:t>Candidates must have both a Resolution and an embedding.</w:t>
      </w:r>
    </w:p>
    <w:p>
      <w:pPr>
        <w:pStyle w:val="ListBullet"/>
      </w:pPr>
      <w:r>
        <w:t>The source ticket is excluded when a source TicketId is present.</w:t>
      </w:r>
    </w:p>
    <w:p>
      <w:pPr>
        <w:pStyle w:val="ListBullet"/>
      </w:pPr>
      <w:r>
        <w:t>Results are ordered using pgvector cosine distance.</w:t>
      </w:r>
    </w:p>
    <w:p>
      <w:pPr>
        <w:pStyle w:val="ListBullet"/>
      </w:pPr>
      <w:r>
        <w:t>The requested limit is passed through the retrieval flow instead of being hard-coded.</w:t>
      </w:r>
    </w:p>
    <w:p>
      <w:r>
        <w:t>This keeps correctness in PostgreSQL while Redis reduces repeated vector-query work for sufficiently similar searches.</w:t>
      </w:r>
    </w:p>
    <w:p>
      <w:pPr>
        <w:pStyle w:val="Heading1"/>
      </w:pPr>
      <w:r>
        <w:t>11. End-to-End Verification</w:t>
      </w:r>
    </w:p>
    <w:p>
      <w:r>
        <w:t>The RAG flow was verified end-to-end using the existing resolved-ticket knowledge base. A ticket analysis request was published through Service Bus, processed by the Worker, grounded with similar resolved tickets, generated by Azure OpenAI, persisted in TicketAnalyses, and retrieved through the API.</w:t>
      </w:r>
    </w:p>
    <w:p>
      <w:r>
        <w:t>The semantic cache was also exercised through similarity search. Redis can return cached results for sufficiently similar embeddings, while a miss falls back to PostgreSQL + pgvector and then populates the cache. The new arbitrary-text similarity endpoint was verified successfully.</w:t>
      </w:r>
    </w:p>
    <w:p>
      <w:pPr>
        <w:pStyle w:val="Heading1"/>
      </w:pPr>
      <w:r>
        <w:t>12. Verification and Tests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Test</w:t>
            </w:r>
          </w:p>
        </w:tc>
        <w:tc>
          <w:tcPr>
            <w:tcW w:type="dxa" w:w="3264"/>
            <w:vAlign w:val="center"/>
          </w:tcPr>
          <w:p>
            <w:r>
              <w:rPr>
                <w:b/>
              </w:rPr>
              <w:t>Expected Result</w:t>
            </w:r>
          </w:p>
        </w:tc>
        <w:tc>
          <w:tcPr>
            <w:tcW w:type="dxa" w:w="3264"/>
            <w:vAlign w:val="center"/>
          </w:tcPr>
          <w:p>
            <w:r>
              <w:rPr>
                <w:b/>
              </w:rPr>
              <w:t>Result</w:t>
            </w:r>
          </w:p>
        </w:tc>
      </w:tr>
      <w:tr>
        <w:tc>
          <w:tcPr>
            <w:tcW w:type="dxa" w:w="3264"/>
            <w:vAlign w:val="center"/>
          </w:tcPr>
          <w:p>
            <w:r>
              <w:t>POST ticket analysis</w:t>
            </w:r>
          </w:p>
        </w:tc>
        <w:tc>
          <w:tcPr>
            <w:tcW w:type="dxa" w:w="3264"/>
            <w:vAlign w:val="center"/>
          </w:tcPr>
          <w:p>
            <w:r>
              <w:t>HTTP 202 and analysis request published</w:t>
            </w:r>
          </w:p>
        </w:tc>
        <w:tc>
          <w:tcPr>
            <w:tcW w:type="dxa" w:w="3264"/>
            <w:vAlign w:val="center"/>
          </w:tcPr>
          <w:p>
            <w:r>
              <w:t>Passed</w:t>
            </w:r>
          </w:p>
        </w:tc>
      </w:tr>
      <w:tr>
        <w:tc>
          <w:tcPr>
            <w:tcW w:type="dxa" w:w="3264"/>
            <w:vAlign w:val="center"/>
          </w:tcPr>
          <w:p>
            <w:r>
              <w:t>TicketAnalysisWorker</w:t>
            </w:r>
          </w:p>
        </w:tc>
        <w:tc>
          <w:tcPr>
            <w:tcW w:type="dxa" w:w="3264"/>
            <w:vAlign w:val="center"/>
          </w:tcPr>
          <w:p>
            <w:r>
              <w:t>ticket-analysis message consumed</w:t>
            </w:r>
          </w:p>
        </w:tc>
        <w:tc>
          <w:tcPr>
            <w:tcW w:type="dxa" w:w="3264"/>
            <w:vAlign w:val="center"/>
          </w:tcPr>
          <w:p>
            <w:r>
              <w:t>Passed</w:t>
            </w:r>
          </w:p>
        </w:tc>
      </w:tr>
      <w:tr>
        <w:tc>
          <w:tcPr>
            <w:tcW w:type="dxa" w:w="3264"/>
            <w:vAlign w:val="center"/>
          </w:tcPr>
          <w:p>
            <w:r>
              <w:t>RAG retrieval</w:t>
            </w:r>
          </w:p>
        </w:tc>
        <w:tc>
          <w:tcPr>
            <w:tcW w:type="dxa" w:w="3264"/>
            <w:vAlign w:val="center"/>
          </w:tcPr>
          <w:p>
            <w:r>
              <w:t>similar resolved tickets supplied as context</w:t>
            </w:r>
          </w:p>
        </w:tc>
        <w:tc>
          <w:tcPr>
            <w:tcW w:type="dxa" w:w="3264"/>
            <w:vAlign w:val="center"/>
          </w:tcPr>
          <w:p>
            <w:r>
              <w:t>Passed</w:t>
            </w:r>
          </w:p>
        </w:tc>
      </w:tr>
      <w:tr>
        <w:tc>
          <w:tcPr>
            <w:tcW w:type="dxa" w:w="3264"/>
            <w:vAlign w:val="center"/>
          </w:tcPr>
          <w:p>
            <w:r>
              <w:t>Azure OpenAI analysis</w:t>
            </w:r>
          </w:p>
        </w:tc>
        <w:tc>
          <w:tcPr>
            <w:tcW w:type="dxa" w:w="3264"/>
            <w:vAlign w:val="center"/>
          </w:tcPr>
          <w:p>
            <w:r>
              <w:t>grounded analysis generated</w:t>
            </w:r>
          </w:p>
        </w:tc>
        <w:tc>
          <w:tcPr>
            <w:tcW w:type="dxa" w:w="3264"/>
            <w:vAlign w:val="center"/>
          </w:tcPr>
          <w:p>
            <w:r>
              <w:t>Passed</w:t>
            </w:r>
          </w:p>
        </w:tc>
      </w:tr>
      <w:tr>
        <w:tc>
          <w:tcPr>
            <w:tcW w:type="dxa" w:w="3264"/>
            <w:vAlign w:val="center"/>
          </w:tcPr>
          <w:p>
            <w:r>
              <w:t>TicketAnalysis persistence</w:t>
            </w:r>
          </w:p>
        </w:tc>
        <w:tc>
          <w:tcPr>
            <w:tcW w:type="dxa" w:w="3264"/>
            <w:vAlign w:val="center"/>
          </w:tcPr>
          <w:p>
            <w:r>
              <w:t>generated content stored in PostgreSQL</w:t>
            </w:r>
          </w:p>
        </w:tc>
        <w:tc>
          <w:tcPr>
            <w:tcW w:type="dxa" w:w="3264"/>
            <w:vAlign w:val="center"/>
          </w:tcPr>
          <w:p>
            <w:r>
              <w:t>Passed</w:t>
            </w:r>
          </w:p>
        </w:tc>
      </w:tr>
      <w:tr>
        <w:tc>
          <w:tcPr>
            <w:tcW w:type="dxa" w:w="3264"/>
            <w:vAlign w:val="center"/>
          </w:tcPr>
          <w:p>
            <w:r>
              <w:t>GET ticket analysis</w:t>
            </w:r>
          </w:p>
        </w:tc>
        <w:tc>
          <w:tcPr>
            <w:tcW w:type="dxa" w:w="3264"/>
            <w:vAlign w:val="center"/>
          </w:tcPr>
          <w:p>
            <w:r>
              <w:t>persisted analysis returned</w:t>
            </w:r>
          </w:p>
        </w:tc>
        <w:tc>
          <w:tcPr>
            <w:tcW w:type="dxa" w:w="3264"/>
            <w:vAlign w:val="center"/>
          </w:tcPr>
          <w:p>
            <w:r>
              <w:t>Passed</w:t>
            </w:r>
          </w:p>
        </w:tc>
      </w:tr>
      <w:tr>
        <w:tc>
          <w:tcPr>
            <w:tcW w:type="dxa" w:w="3264"/>
            <w:vAlign w:val="center"/>
          </w:tcPr>
          <w:p>
            <w:r>
              <w:t>Redis vector index</w:t>
            </w:r>
          </w:p>
        </w:tc>
        <w:tc>
          <w:tcPr>
            <w:tcW w:type="dxa" w:w="3264"/>
            <w:vAlign w:val="center"/>
          </w:tcPr>
          <w:p>
            <w:r>
              <w:t>semantic cache index available</w:t>
            </w:r>
          </w:p>
        </w:tc>
        <w:tc>
          <w:tcPr>
            <w:tcW w:type="dxa" w:w="3264"/>
            <w:vAlign w:val="center"/>
          </w:tcPr>
          <w:p>
            <w:r>
              <w:t>Passed</w:t>
            </w:r>
          </w:p>
        </w:tc>
      </w:tr>
      <w:tr>
        <w:tc>
          <w:tcPr>
            <w:tcW w:type="dxa" w:w="3264"/>
            <w:vAlign w:val="center"/>
          </w:tcPr>
          <w:p>
            <w:r>
              <w:t>Redis cache miss</w:t>
            </w:r>
          </w:p>
        </w:tc>
        <w:tc>
          <w:tcPr>
            <w:tcW w:type="dxa" w:w="3264"/>
            <w:vAlign w:val="center"/>
          </w:tcPr>
          <w:p>
            <w:r>
              <w:t>pgvector fallback executed and cache populated</w:t>
            </w:r>
          </w:p>
        </w:tc>
        <w:tc>
          <w:tcPr>
            <w:tcW w:type="dxa" w:w="3264"/>
            <w:vAlign w:val="center"/>
          </w:tcPr>
          <w:p>
            <w:r>
              <w:t>Passed</w:t>
            </w:r>
          </w:p>
        </w:tc>
      </w:tr>
      <w:tr>
        <w:tc>
          <w:tcPr>
            <w:tcW w:type="dxa" w:w="3264"/>
            <w:vAlign w:val="center"/>
          </w:tcPr>
          <w:p>
            <w:r>
              <w:t>Text similarity search</w:t>
            </w:r>
          </w:p>
        </w:tc>
        <w:tc>
          <w:tcPr>
            <w:tcW w:type="dxa" w:w="3264"/>
            <w:vAlign w:val="center"/>
          </w:tcPr>
          <w:p>
            <w:r>
              <w:t>similar resolved tickets returned from arbitrary text</w:t>
            </w:r>
          </w:p>
        </w:tc>
        <w:tc>
          <w:tcPr>
            <w:tcW w:type="dxa" w:w="3264"/>
            <w:vAlign w:val="center"/>
          </w:tcPr>
          <w:p>
            <w:r>
              <w:t>Passed</w:t>
            </w:r>
          </w:p>
        </w:tc>
      </w:tr>
    </w:tbl>
    <w:p>
      <w:pPr>
        <w:pStyle w:val="Heading1"/>
      </w:pPr>
      <w:r>
        <w:t>13. Issues Encountered and Resolutions</w:t>
      </w:r>
    </w:p>
    <w:p>
      <w:pPr>
        <w:pStyle w:val="ListBullet"/>
      </w:pPr>
      <w:r>
        <w:t>Redis regional capacity: provisioning in West Europe and North Europe failed with InsufficientCapacity. Azure Managed Redis was successfully provisioned in Poland Central.</w:t>
      </w:r>
    </w:p>
    <w:p>
      <w:pPr>
        <w:pStyle w:val="ListBullet"/>
      </w:pPr>
      <w:r>
        <w:t>Redis authentication: the application was configured for Microsoft Entra authentication with DefaultAzureCredential and RESP3 instead of using Redis access keys.</w:t>
      </w:r>
    </w:p>
    <w:p>
      <w:pPr>
        <w:pStyle w:val="ListBullet"/>
      </w:pPr>
      <w:r>
        <w:t>Azure.Identity package conflict: conflicting Azure.Core/Azure.Identity types caused DefaultAzureCredential compilation errors. The Persistence project was aligned on Azure.Identity 1.21.0.</w:t>
      </w:r>
    </w:p>
    <w:p>
      <w:pPr>
        <w:pStyle w:val="ListBullet"/>
      </w:pPr>
      <w:r>
        <w:t>Ticket JSON cycles: serializing cached Ticket entities exposed the Ticket/Resolution navigation cycle. ReferenceHandler.IgnoreCycles was added.</w:t>
      </w:r>
    </w:p>
    <w:p>
      <w:pPr>
        <w:pStyle w:val="ListBullet"/>
      </w:pPr>
      <w:r>
        <w:t>Pgvector.Vector deserialization: System.Text.Json could not reconstruct Pgvector.Vector automatically. A custom VectorJsonConverter was added.</w:t>
      </w:r>
    </w:p>
    <w:p>
      <w:pPr>
        <w:pStyle w:val="ListBullet"/>
      </w:pPr>
      <w:r>
        <w:t>PostgreSQL Entra token expiry: the Npgsql data source uses a periodic password provider with DefaultAzureCredential so fresh PostgreSQL access tokens can be acquired for new connections.</w:t>
      </w:r>
    </w:p>
    <w:p>
      <w:pPr>
        <w:pStyle w:val="Heading1"/>
      </w:pPr>
      <w:r>
        <w:t>14. Key Lessons</w:t>
      </w:r>
    </w:p>
    <w:p>
      <w:pPr>
        <w:pStyle w:val="ListBullet"/>
      </w:pPr>
      <w:r>
        <w:t>RAG separates retrieval from generation: the application first retrieves relevant knowledge and then supplies that context to the language model.</w:t>
      </w:r>
    </w:p>
    <w:p>
      <w:pPr>
        <w:pStyle w:val="ListBullet"/>
      </w:pPr>
      <w:r>
        <w:t>Asynchronous AI processing is useful when generation latency should not block the HTTP request.</w:t>
      </w:r>
    </w:p>
    <w:p>
      <w:pPr>
        <w:pStyle w:val="ListBullet"/>
      </w:pPr>
      <w:r>
        <w:t>Semantic caching differs from exact-key caching because vector similarity can reuse results for inputs that are close in meaning rather than identical.</w:t>
      </w:r>
    </w:p>
    <w:p>
      <w:pPr>
        <w:pStyle w:val="ListBullet"/>
      </w:pPr>
      <w:r>
        <w:t>Redis Vector Search can act as an optimization layer while PostgreSQL + pgvector remains the source of truth for similarity retrieval.</w:t>
      </w:r>
    </w:p>
    <w:p>
      <w:pPr>
        <w:pStyle w:val="ListBullet"/>
      </w:pPr>
      <w:r>
        <w:t>Cache-aside means the application checks Redis first, queries the authoritative store on a miss, and then populates the cache.</w:t>
      </w:r>
    </w:p>
    <w:p>
      <w:pPr>
        <w:pStyle w:val="ListBullet"/>
      </w:pPr>
      <w:r>
        <w:t>TTL limits how long cached semantic results can become stale.</w:t>
      </w:r>
    </w:p>
    <w:p>
      <w:pPr>
        <w:pStyle w:val="ListBullet"/>
      </w:pPr>
      <w:r>
        <w:t>Cosine distance is used by pgvector and Redis vector search, while cosine similarity can be exposed to API consumers as a more intuitive score.</w:t>
      </w:r>
    </w:p>
    <w:p>
      <w:pPr>
        <w:pStyle w:val="ListBullet"/>
      </w:pPr>
      <w:r>
        <w:t>Managed identity / DefaultAzureCredential can be used across Azure OpenAI, PostgreSQL, Key Vault, and Redis instead of embedding credentials in application code.</w:t>
      </w:r>
    </w:p>
    <w:p>
      <w:pPr>
        <w:pStyle w:val="Heading1"/>
      </w:pPr>
      <w:r>
        <w:t>15. Week 4 Milestone</w:t>
      </w:r>
    </w:p>
    <w:p>
      <w:r>
        <w:t>Week 4 is complete.</w:t>
      </w:r>
    </w:p>
    <w:p>
      <w:r>
        <w:t>The platform now supports asynchronous RAG-based ticket analysis grounded in previously resolved cases, persists generated analyses in PostgreSQL, and accelerates similarity retrieval with Azure Managed Redis semantic caching. Similar tickets can be found either from an existing ticket embedding or directly from arbitrary input text, with PostgreSQL + pgvector retained as the authoritative fallback.</w:t>
      </w:r>
    </w:p>
    <w:p>
      <w:pPr>
        <w:pStyle w:val="Heading1"/>
      </w:pPr>
      <w:r>
        <w:t>16. Next Step - Week 5</w:t>
      </w:r>
    </w:p>
    <w:p>
      <w:r>
        <w:t>Week 5 will focus on security and observability: Managed Identity and RBAC review, centralized configuration, OpenTelemetry, Application Insights / Azure Monitor, Log Analytics, KQL, and end-to-end tracing across the API, Service Bus, Worker, PostgreSQL, Redis, and Azure OpenAI.</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