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Support Ticket Platform</w:t>
      </w:r>
    </w:p>
    <w:p>
      <w:r>
        <w:t>Week 05 — Identity, Centralized Configuration &amp; Observability</w:t>
      </w:r>
    </w:p>
    <w:p>
      <w:r>
        <w:t>Implementation and validation report | October 2026</w:t>
      </w:r>
    </w:p>
    <w:p>
      <w:pPr>
        <w:pStyle w:val="Heading1"/>
      </w:pPr>
      <w:r>
        <w:t>Scope</w:t>
      </w:r>
    </w:p>
    <w:p>
      <w:r>
        <w:t>Week 5 focused on production-oriented Azure identity and configuration, end-to-end distributed tracing, structured application logs, and custom metrics across the API, Service Bus, Worker, PostgreSQL, and Azure OpenAI/Foundry integrations. The report describes the implementation and the successful workflow validations performed during the week.</w:t>
      </w:r>
    </w:p>
    <w:p>
      <w:pPr>
        <w:pStyle w:val="Heading1"/>
      </w:pPr>
      <w:r>
        <w:t>1. Architecture and workflow</w:t>
      </w:r>
    </w:p>
    <w:p>
      <w:pPr>
        <w:spacing w:after="0"/>
      </w:pPr>
      <w:r>
        <w:rPr>
          <w:rFonts w:ascii="Consolas" w:hAnsi="Consolas"/>
          <w:color w:val="2A3A48"/>
          <w:sz w:val="16"/>
        </w:rPr>
        <w:t>Client → ASP.NET Core API → Azure Service Bus → Worker → PostgreSQL</w:t>
      </w:r>
    </w:p>
    <w:p>
      <w:pPr>
        <w:spacing w:after="0"/>
      </w:pPr>
      <w:r>
        <w:rPr>
          <w:rFonts w:ascii="Consolas" w:hAnsi="Consolas"/>
          <w:color w:val="2A3A48"/>
          <w:sz w:val="16"/>
        </w:rPr>
        <w:t xml:space="preserve">                                             ↘ Azure OpenAI / Foundry</w:t>
      </w:r>
    </w:p>
    <w:p>
      <w:pPr>
        <w:spacing w:after="0"/>
      </w:pPr>
      <w:r>
        <w:rPr>
          <w:rFonts w:ascii="Consolas" w:hAnsi="Consolas"/>
          <w:color w:val="2A3A48"/>
          <w:sz w:val="16"/>
        </w:rPr>
        <w:t>API + Worker → OpenTelemetry → Azure Monitor / Application Insights</w:t>
      </w:r>
    </w:p>
    <w:p/>
    <w:p>
      <w:r>
        <w:t>The API accepts a ticket creation or analysis request and publishes a message. A background worker receives it and persists the ticket or generates analysis using similar resolved cases. Telemetry follows the request across process and messaging boundaries.</w:t>
      </w:r>
    </w:p>
    <w:p>
      <w:pPr>
        <w:pStyle w:val="Heading1"/>
      </w:pPr>
      <w:r>
        <w:t>2. Managed identity and Azure access</w:t>
      </w:r>
    </w:p>
    <w:p>
      <w:pPr>
        <w:pStyle w:val="ListBullet"/>
      </w:pPr>
      <w:r>
        <w:t>Service Bus clients use a fully qualified namespace with DefaultAzureCredential rather than embedding a connection-string secret in application code.</w:t>
      </w:r>
    </w:p>
    <w:p>
      <w:pPr>
        <w:pStyle w:val="ListBullet"/>
      </w:pPr>
      <w:r>
        <w:t>API identity uses Service Bus Data Sender; Worker identity uses Data Receiver; developer access uses the appropriate local Azure identity.</w:t>
      </w:r>
    </w:p>
    <w:p>
      <w:pPr>
        <w:pStyle w:val="ListBullet"/>
      </w:pPr>
      <w:r>
        <w:t>Azure App Configuration uses Microsoft Entra authentication and is accessed by API and Worker through DefaultAzureCredential.</w:t>
      </w:r>
    </w:p>
    <w:p>
      <w:pPr>
        <w:pStyle w:val="ListBullet"/>
      </w:pPr>
      <w:r>
        <w:t>Key Vault references resolve sensitive configuration, including database, Redis, Foundry and Application Insights connection strings.</w:t>
      </w:r>
    </w:p>
    <w:p>
      <w:pPr>
        <w:pStyle w:val="ListBullet"/>
      </w:pPr>
      <w:r>
        <w:t>Redis authentication is configured with Azure token credentials; PostgreSQL and service access use the project’s existing identity configuration.</w:t>
      </w:r>
    </w:p>
    <w:p>
      <w:r>
        <w:t>Local development may show failed Managed Identity attempts inside the DefaultAzureCredential chain before another credential source succeeds. Such diagnostic entries alone do not establish that the application failed.</w:t>
      </w:r>
    </w:p>
    <w:p>
      <w:pPr>
        <w:pStyle w:val="Heading1"/>
      </w:pPr>
      <w:r>
        <w:t>3. Centralized configuration</w:t>
      </w:r>
    </w:p>
    <w:p>
      <w:r>
        <w:t>Azure App Configuration is the central configuration store. Secret-bearing values are stored in Azure Key Vault and exposed as Key Vault references, while ordinary tuning parameters are stored directly in App Configuration.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Configuration key</w:t>
            </w:r>
          </w:p>
        </w:tc>
        <w:tc>
          <w:tcPr>
            <w:tcW w:type="dxa" w:w="4320"/>
          </w:tcPr>
          <w:p>
            <w:r>
              <w:t>Purpose</w:t>
            </w:r>
          </w:p>
        </w:tc>
      </w:tr>
      <w:tr>
        <w:tc>
          <w:tcPr>
            <w:tcW w:type="dxa" w:w="4320"/>
          </w:tcPr>
          <w:p>
            <w:r>
              <w:t>ConnectionStrings:SupportTicketInsights</w:t>
            </w:r>
          </w:p>
        </w:tc>
        <w:tc>
          <w:tcPr>
            <w:tcW w:type="dxa" w:w="4320"/>
          </w:tcPr>
          <w:p>
            <w:r>
              <w:t>Azure Monitor connection string (Key Vault reference)</w:t>
            </w:r>
          </w:p>
        </w:tc>
      </w:tr>
      <w:tr>
        <w:tc>
          <w:tcPr>
            <w:tcW w:type="dxa" w:w="4320"/>
          </w:tcPr>
          <w:p>
            <w:r>
              <w:t>ConnectionStrings:PostgreSQLConnectionString</w:t>
            </w:r>
          </w:p>
        </w:tc>
        <w:tc>
          <w:tcPr>
            <w:tcW w:type="dxa" w:w="4320"/>
          </w:tcPr>
          <w:p>
            <w:r>
              <w:t>PostgreSQL access (Key Vault reference)</w:t>
            </w:r>
          </w:p>
        </w:tc>
      </w:tr>
      <w:tr>
        <w:tc>
          <w:tcPr>
            <w:tcW w:type="dxa" w:w="4320"/>
          </w:tcPr>
          <w:p>
            <w:r>
              <w:t>ConnectionStrings:RedisConnectionString</w:t>
            </w:r>
          </w:p>
        </w:tc>
        <w:tc>
          <w:tcPr>
            <w:tcW w:type="dxa" w:w="4320"/>
          </w:tcPr>
          <w:p>
            <w:r>
              <w:t>Redis access (Key Vault reference)</w:t>
            </w:r>
          </w:p>
        </w:tc>
      </w:tr>
      <w:tr>
        <w:tc>
          <w:tcPr>
            <w:tcW w:type="dxa" w:w="4320"/>
          </w:tcPr>
          <w:p>
            <w:r>
              <w:t>Foundry:OpenAIEndpoint / deployments</w:t>
            </w:r>
          </w:p>
        </w:tc>
        <w:tc>
          <w:tcPr>
            <w:tcW w:type="dxa" w:w="4320"/>
          </w:tcPr>
          <w:p>
            <w:r>
              <w:t>Foundry endpoint and model deployment settings</w:t>
            </w:r>
          </w:p>
        </w:tc>
      </w:tr>
      <w:tr>
        <w:tc>
          <w:tcPr>
            <w:tcW w:type="dxa" w:w="4320"/>
          </w:tcPr>
          <w:p>
            <w:r>
              <w:t>ServiceBus:FullyQualifiedNamespace</w:t>
            </w:r>
          </w:p>
        </w:tc>
        <w:tc>
          <w:tcPr>
            <w:tcW w:type="dxa" w:w="4320"/>
          </w:tcPr>
          <w:p>
            <w:r>
              <w:t>Service Bus namespace</w:t>
            </w:r>
          </w:p>
        </w:tc>
      </w:tr>
      <w:tr>
        <w:tc>
          <w:tcPr>
            <w:tcW w:type="dxa" w:w="4320"/>
          </w:tcPr>
          <w:p>
            <w:r>
              <w:t>Redis:SimilarityThreshold / CacheLifetimeMinutes</w:t>
            </w:r>
          </w:p>
        </w:tc>
        <w:tc>
          <w:tcPr>
            <w:tcW w:type="dxa" w:w="4320"/>
          </w:tcPr>
          <w:p>
            <w:r>
              <w:t>Similarity cache behavior</w:t>
            </w:r>
          </w:p>
        </w:tc>
      </w:tr>
      <w:tr>
        <w:tc>
          <w:tcPr>
            <w:tcW w:type="dxa" w:w="4320"/>
          </w:tcPr>
          <w:p>
            <w:r>
              <w:t>SimilarTickets:MaxResults</w:t>
            </w:r>
          </w:p>
        </w:tc>
        <w:tc>
          <w:tcPr>
            <w:tcW w:type="dxa" w:w="4320"/>
          </w:tcPr>
          <w:p>
            <w:r>
              <w:t>API similarity result limit</w:t>
            </w:r>
          </w:p>
        </w:tc>
      </w:tr>
      <w:tr>
        <w:tc>
          <w:tcPr>
            <w:tcW w:type="dxa" w:w="4320"/>
          </w:tcPr>
          <w:p>
            <w:r>
              <w:t>TicketAnalysis:MaxSimilarTickets</w:t>
            </w:r>
          </w:p>
        </w:tc>
        <w:tc>
          <w:tcPr>
            <w:tcW w:type="dxa" w:w="4320"/>
          </w:tcPr>
          <w:p>
            <w:r>
              <w:t>Worker analysis retrieval limit</w:t>
            </w:r>
          </w:p>
        </w:tc>
      </w:tr>
    </w:tbl>
    <w:p/>
    <w:p>
      <w:r>
        <w:t>API configuration order was corrected: Key Vault and Azure App Configuration must be loaded before AddServiceDefaults() so that the Azure Monitor exporter can resolve ConnectionStrings:SupportTicketInsights at registration time. The Worker already followed this order.</w:t>
      </w:r>
    </w:p>
    <w:p>
      <w:pPr>
        <w:spacing w:after="0"/>
      </w:pPr>
      <w:r>
        <w:rPr>
          <w:rFonts w:ascii="Consolas" w:hAnsi="Consolas"/>
          <w:color w:val="2A3A48"/>
          <w:sz w:val="16"/>
        </w:rPr>
        <w:t>builder.Configuration.AddAzureAppConfiguration(...); // resolves Key Vault references</w:t>
      </w:r>
    </w:p>
    <w:p>
      <w:pPr>
        <w:spacing w:after="0"/>
      </w:pPr>
      <w:r>
        <w:rPr>
          <w:rFonts w:ascii="Consolas" w:hAnsi="Consolas"/>
          <w:color w:val="2A3A48"/>
          <w:sz w:val="16"/>
        </w:rPr>
        <w:t>builder.AddServiceDefaults(); // configures OpenTelemetry exporters afterward</w:t>
      </w:r>
    </w:p>
    <w:p/>
    <w:p>
      <w:r>
        <w:t>ApiOptions, WorkerOptions, ConnectionStringsOptions and RedisOptions provide strongly typed configuration at the relevant layer. Dynamic App Configuration refresh was not implemented in this week.</w:t>
      </w:r>
    </w:p>
    <w:p>
      <w:pPr>
        <w:pStyle w:val="Heading1"/>
      </w:pPr>
      <w:r>
        <w:t>4. OpenTelemetry and Azure Monitor</w:t>
      </w:r>
    </w:p>
    <w:p>
      <w:r>
        <w:t>Shared ServiceDefaults configures tracing, metrics, OpenTelemetry logging, health checks, service discovery and HTTP resilience. The Azure Monitor exporter is enabled when the SupportTicketInsights connection string is available. OTLP export can also be configured independently for local tooling.</w:t>
      </w:r>
    </w:p>
    <w:p>
      <w:pPr>
        <w:pStyle w:val="ListBullet"/>
      </w:pPr>
      <w:r>
        <w:t>ASP.NET Core and HTTP client instrumentation capture incoming requests and outgoing HTTP dependencies.</w:t>
      </w:r>
    </w:p>
    <w:p>
      <w:pPr>
        <w:pStyle w:val="ListBullet"/>
      </w:pPr>
      <w:r>
        <w:t>Npgsql instrumentation captures PostgreSQL dependency spans.</w:t>
      </w:r>
    </w:p>
    <w:p>
      <w:pPr>
        <w:pStyle w:val="ListBullet"/>
      </w:pPr>
      <w:r>
        <w:t>Azure SDK activity sources capture Service Bus messaging and identity operations; Azure Service Bus ActivitySource support was enabled via its experimental switch.</w:t>
      </w:r>
    </w:p>
    <w:p>
      <w:pPr>
        <w:pStyle w:val="ListBullet"/>
      </w:pPr>
      <w:r>
        <w:t>Application activity sources add domain-level spans without coupling the Application layer to OpenTelemetry implementation types.</w:t>
      </w:r>
    </w:p>
    <w:p>
      <w:pPr>
        <w:pStyle w:val="ListBullet"/>
      </w:pPr>
      <w:r>
        <w:t>Application Insights Search, end-to-end transaction details and Logs provide correlated visibility across API and Worker.</w:t>
      </w:r>
    </w:p>
    <w:p>
      <w:pPr>
        <w:pStyle w:val="Heading1"/>
      </w:pPr>
      <w:r>
        <w:t>5. Application tracing and error reporting</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Flow</w:t>
            </w:r>
          </w:p>
        </w:tc>
        <w:tc>
          <w:tcPr>
            <w:tcW w:type="dxa" w:w="2880"/>
          </w:tcPr>
          <w:p>
            <w:r>
              <w:t>Custom span</w:t>
            </w:r>
          </w:p>
        </w:tc>
        <w:tc>
          <w:tcPr>
            <w:tcW w:type="dxa" w:w="2880"/>
          </w:tcPr>
          <w:p>
            <w:r>
              <w:t>Purpose</w:t>
            </w:r>
          </w:p>
        </w:tc>
      </w:tr>
      <w:tr>
        <w:tc>
          <w:tcPr>
            <w:tcW w:type="dxa" w:w="2880"/>
          </w:tcPr>
          <w:p>
            <w:r>
              <w:t>Ticket creation (API)</w:t>
            </w:r>
          </w:p>
        </w:tc>
        <w:tc>
          <w:tcPr>
            <w:tcW w:type="dxa" w:w="2880"/>
          </w:tcPr>
          <w:p>
            <w:r>
              <w:t>CreateTicket</w:t>
            </w:r>
          </w:p>
        </w:tc>
        <w:tc>
          <w:tcPr>
            <w:tcW w:type="dxa" w:w="2880"/>
          </w:tcPr>
          <w:p>
            <w:r>
              <w:t>Trace request handling and message publication</w:t>
            </w:r>
          </w:p>
        </w:tc>
      </w:tr>
      <w:tr>
        <w:tc>
          <w:tcPr>
            <w:tcW w:type="dxa" w:w="2880"/>
          </w:tcPr>
          <w:p>
            <w:r>
              <w:t>Ticket creation (Worker)</w:t>
            </w:r>
          </w:p>
        </w:tc>
        <w:tc>
          <w:tcPr>
            <w:tcW w:type="dxa" w:w="2880"/>
          </w:tcPr>
          <w:p>
            <w:r>
              <w:t>CreateTicketPersistence</w:t>
            </w:r>
          </w:p>
        </w:tc>
        <w:tc>
          <w:tcPr>
            <w:tcW w:type="dxa" w:w="2880"/>
          </w:tcPr>
          <w:p>
            <w:r>
              <w:t>Trace idempotency, embedding and persistence</w:t>
            </w:r>
          </w:p>
        </w:tc>
      </w:tr>
      <w:tr>
        <w:tc>
          <w:tcPr>
            <w:tcW w:type="dxa" w:w="2880"/>
          </w:tcPr>
          <w:p>
            <w:r>
              <w:t>Ticket analysis (API)</w:t>
            </w:r>
          </w:p>
        </w:tc>
        <w:tc>
          <w:tcPr>
            <w:tcW w:type="dxa" w:w="2880"/>
          </w:tcPr>
          <w:p>
            <w:r>
              <w:t>AnalyzeTicket</w:t>
            </w:r>
          </w:p>
        </w:tc>
        <w:tc>
          <w:tcPr>
            <w:tcW w:type="dxa" w:w="2880"/>
          </w:tcPr>
          <w:p>
            <w:r>
              <w:t>Trace analysis request publication</w:t>
            </w:r>
          </w:p>
        </w:tc>
      </w:tr>
      <w:tr>
        <w:tc>
          <w:tcPr>
            <w:tcW w:type="dxa" w:w="2880"/>
          </w:tcPr>
          <w:p>
            <w:r>
              <w:t>Ticket analysis (Worker)</w:t>
            </w:r>
          </w:p>
        </w:tc>
        <w:tc>
          <w:tcPr>
            <w:tcW w:type="dxa" w:w="2880"/>
          </w:tcPr>
          <w:p>
            <w:r>
              <w:t>AnalyzeTicket</w:t>
            </w:r>
          </w:p>
        </w:tc>
        <w:tc>
          <w:tcPr>
            <w:tcW w:type="dxa" w:w="2880"/>
          </w:tcPr>
          <w:p>
            <w:r>
              <w:t>Trace analysis execution and persistence</w:t>
            </w:r>
          </w:p>
        </w:tc>
      </w:tr>
      <w:tr>
        <w:tc>
          <w:tcPr>
            <w:tcW w:type="dxa" w:w="2880"/>
          </w:tcPr>
          <w:p>
            <w:r>
              <w:t>Similarity retrieval (Worker)</w:t>
            </w:r>
          </w:p>
        </w:tc>
        <w:tc>
          <w:tcPr>
            <w:tcW w:type="dxa" w:w="2880"/>
          </w:tcPr>
          <w:p>
            <w:r>
              <w:t>FindSimilarTickets</w:t>
            </w:r>
          </w:p>
        </w:tc>
        <w:tc>
          <w:tcPr>
            <w:tcW w:type="dxa" w:w="2880"/>
          </w:tcPr>
          <w:p>
            <w:r>
              <w:t>Trace resolved-ticket retrieval; includes tags for ticket ID and result limit</w:t>
            </w:r>
          </w:p>
        </w:tc>
      </w:tr>
    </w:tbl>
    <w:p/>
    <w:p>
      <w:r>
        <w:t>IApplicationTelemetry exposes StartActivity, and the Worker abstraction additionally exposes StartActivityWithTags. RecordException marks the current Activity with Error status and attaches exception details. Handlers also write LogError and rethrow, preserving message-processing error behavior. The deliberate failure-path validation was deferred.</w:t>
      </w:r>
    </w:p>
    <w:p>
      <w:pPr>
        <w:pStyle w:val="Heading1"/>
      </w:pPr>
      <w:r>
        <w:t>6. Structured logging</w:t>
      </w:r>
    </w:p>
    <w:p>
      <w:r>
        <w:t>Application logs were added at meaningful business boundaries: creation request, message publication, message reception, persistence start/success, analysis request, similarity search, Foundry analysis generation, and analysis completion. Log entries include TicketId and, where appropriate, MessageId, DeliveryCount, MaxResults and ResultCount. Ticket descriptions, prompts and generated responses are not logged as application-level payloads.</w:t>
      </w:r>
    </w:p>
    <w:p>
      <w:r>
        <w:t>API and Worker logs were verified under the same operation ID in Application Insights. Internal MSAL diagnostic logging was observed but filtering was explicitly deferred.</w:t>
      </w:r>
    </w:p>
    <w:p>
      <w:pPr>
        <w:pStyle w:val="Heading1"/>
      </w:pPr>
      <w:r>
        <w:t>7. Custom business metrics</w:t>
      </w:r>
    </w:p>
    <w:p>
      <w:r>
        <w:t>The Worker publishes three application metrics through a Meter named SupportTicketPlatform.Worker.Application. ServiceDefaults subscribes to that meter with AddMeter().</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Metric</w:t>
            </w:r>
          </w:p>
        </w:tc>
        <w:tc>
          <w:tcPr>
            <w:tcW w:type="dxa" w:w="2880"/>
          </w:tcPr>
          <w:p>
            <w:r>
              <w:t>Instrument</w:t>
            </w:r>
          </w:p>
        </w:tc>
        <w:tc>
          <w:tcPr>
            <w:tcW w:type="dxa" w:w="2880"/>
          </w:tcPr>
          <w:p>
            <w:r>
              <w:t>Recorded when</w:t>
            </w:r>
          </w:p>
        </w:tc>
      </w:tr>
      <w:tr>
        <w:tc>
          <w:tcPr>
            <w:tcW w:type="dxa" w:w="2880"/>
          </w:tcPr>
          <w:p>
            <w:r>
              <w:t>support_tickets.created</w:t>
            </w:r>
          </w:p>
        </w:tc>
        <w:tc>
          <w:tcPr>
            <w:tcW w:type="dxa" w:w="2880"/>
          </w:tcPr>
          <w:p>
            <w:r>
              <w:t>Counter&lt;long&gt;</w:t>
            </w:r>
          </w:p>
        </w:tc>
        <w:tc>
          <w:tcPr>
            <w:tcW w:type="dxa" w:w="2880"/>
          </w:tcPr>
          <w:p>
            <w:r>
              <w:t>Ticket successfully persisted; duplicate messages excluded</w:t>
            </w:r>
          </w:p>
        </w:tc>
      </w:tr>
      <w:tr>
        <w:tc>
          <w:tcPr>
            <w:tcW w:type="dxa" w:w="2880"/>
          </w:tcPr>
          <w:p>
            <w:r>
              <w:t>support_tickets.analysis.completed</w:t>
            </w:r>
          </w:p>
        </w:tc>
        <w:tc>
          <w:tcPr>
            <w:tcW w:type="dxa" w:w="2880"/>
          </w:tcPr>
          <w:p>
            <w:r>
              <w:t>Counter&lt;long&gt;</w:t>
            </w:r>
          </w:p>
        </w:tc>
        <w:tc>
          <w:tcPr>
            <w:tcW w:type="dxa" w:w="2880"/>
          </w:tcPr>
          <w:p>
            <w:r>
              <w:t>Analysis successfully saved</w:t>
            </w:r>
          </w:p>
        </w:tc>
      </w:tr>
      <w:tr>
        <w:tc>
          <w:tcPr>
            <w:tcW w:type="dxa" w:w="2880"/>
          </w:tcPr>
          <w:p>
            <w:r>
              <w:t>support_tickets.analysis.duration</w:t>
            </w:r>
          </w:p>
        </w:tc>
        <w:tc>
          <w:tcPr>
            <w:tcW w:type="dxa" w:w="2880"/>
          </w:tcPr>
          <w:p>
            <w:r>
              <w:t>Histogram&lt;double&gt; (seconds)</w:t>
            </w:r>
          </w:p>
        </w:tc>
        <w:tc>
          <w:tcPr>
            <w:tcW w:type="dxa" w:w="2880"/>
          </w:tcPr>
          <w:p>
            <w:r>
              <w:t>Successful analysis duration measured with Stopwatch</w:t>
            </w:r>
          </w:p>
        </w:tc>
      </w:tr>
    </w:tbl>
    <w:p/>
    <w:p>
      <w:r>
        <w:t>Counters represent increments, not a permanent single-process running total in every exported row. Histogram measurements can be aggregated by the exporter; they are useful for trends and latency distributions.</w:t>
      </w:r>
    </w:p>
    <w:p>
      <w:pPr>
        <w:pStyle w:val="Heading1"/>
      </w:pPr>
      <w:r>
        <w:t>8. End-to-end validation</w:t>
      </w:r>
    </w:p>
    <w:p>
      <w:pPr>
        <w:pStyle w:val="Heading2"/>
      </w:pPr>
      <w:r>
        <w:t>8.1 Ticket creation</w:t>
      </w:r>
    </w:p>
    <w:p>
      <w:r>
        <w:t>Test scenario: Orders API intermittently returns HTTP 500; logs indicate a database connection timeout after a deployment. POST /api/tickets returned HTTP 202. The ticket was found in PostgreSQL with its embedding populated.</w:t>
      </w:r>
    </w:p>
    <w:p>
      <w:pPr>
        <w:pStyle w:val="ListBullet"/>
      </w:pPr>
      <w:r>
        <w:t>Application Insights showed the incoming HTTP request, CreateTicket, Service Bus messaging correlation, Worker CreateTicketPersistence, PostgreSQL dependencies and the Foundry embedding HTTP request.</w:t>
      </w:r>
    </w:p>
    <w:p>
      <w:pPr>
        <w:pStyle w:val="ListBullet"/>
      </w:pPr>
      <w:r>
        <w:t>Structured logs confirmed publication, receipt, persistence and successful message processing under one operation ID.</w:t>
      </w:r>
    </w:p>
    <w:p>
      <w:pPr>
        <w:pStyle w:val="ListBullet"/>
      </w:pPr>
      <w:r>
        <w:t>customMetrics contained support_tickets.created = 1 from the worker.</w:t>
      </w:r>
    </w:p>
    <w:p>
      <w:pPr>
        <w:pStyle w:val="Heading2"/>
      </w:pPr>
      <w:r>
        <w:t>8.2 Ticket analysis</w:t>
      </w:r>
    </w:p>
    <w:p>
      <w:r>
        <w:t>The existing ticket was submitted through POST /api/tickets/{ticketId}/analysis. The TicketAnalyses table contained the generated analysis text. The end-to-end trace linked API, Service Bus, Worker, similarity search, Foundry chat completion and PostgreSQL update.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Observed operation</w:t>
            </w:r>
          </w:p>
        </w:tc>
        <w:tc>
          <w:tcPr>
            <w:tcW w:type="dxa" w:w="4320"/>
          </w:tcPr>
          <w:p>
            <w:r>
              <w:t>Duration / result</w:t>
            </w:r>
          </w:p>
        </w:tc>
      </w:tr>
      <w:tr>
        <w:tc>
          <w:tcPr>
            <w:tcW w:type="dxa" w:w="4320"/>
          </w:tcPr>
          <w:p>
            <w:r>
              <w:t>API analysis request</w:t>
            </w:r>
          </w:p>
        </w:tc>
        <w:tc>
          <w:tcPr>
            <w:tcW w:type="dxa" w:w="4320"/>
          </w:tcPr>
          <w:p>
            <w:r>
              <w:t>HTTP 202; 9.6 s</w:t>
            </w:r>
          </w:p>
        </w:tc>
      </w:tr>
      <w:tr>
        <w:tc>
          <w:tcPr>
            <w:tcW w:type="dxa" w:w="4320"/>
          </w:tcPr>
          <w:p>
            <w:r>
              <w:t>Worker AnalyzeTicket span</w:t>
            </w:r>
          </w:p>
        </w:tc>
        <w:tc>
          <w:tcPr>
            <w:tcW w:type="dxa" w:w="4320"/>
          </w:tcPr>
          <w:p>
            <w:r>
              <w:t>20.6 s</w:t>
            </w:r>
          </w:p>
        </w:tc>
      </w:tr>
      <w:tr>
        <w:tc>
          <w:tcPr>
            <w:tcW w:type="dxa" w:w="4320"/>
          </w:tcPr>
          <w:p>
            <w:r>
              <w:t>FindSimilarTickets span</w:t>
            </w:r>
          </w:p>
        </w:tc>
        <w:tc>
          <w:tcPr>
            <w:tcW w:type="dxa" w:w="4320"/>
          </w:tcPr>
          <w:p>
            <w:r>
              <w:t>7.6 s</w:t>
            </w:r>
          </w:p>
        </w:tc>
      </w:tr>
      <w:tr>
        <w:tc>
          <w:tcPr>
            <w:tcW w:type="dxa" w:w="4320"/>
          </w:tcPr>
          <w:p>
            <w:r>
              <w:t>PostgreSQL similarity query</w:t>
            </w:r>
          </w:p>
        </w:tc>
        <w:tc>
          <w:tcPr>
            <w:tcW w:type="dxa" w:w="4320"/>
          </w:tcPr>
          <w:p>
            <w:r>
              <w:t>210.2 ms</w:t>
            </w:r>
          </w:p>
        </w:tc>
      </w:tr>
      <w:tr>
        <w:tc>
          <w:tcPr>
            <w:tcW w:type="dxa" w:w="4320"/>
          </w:tcPr>
          <w:p>
            <w:r>
              <w:t>Foundry chat HTTP dependency</w:t>
            </w:r>
          </w:p>
        </w:tc>
        <w:tc>
          <w:tcPr>
            <w:tcW w:type="dxa" w:w="4320"/>
          </w:tcPr>
          <w:p>
            <w:r>
              <w:t>HTTP 200; 4.6 s</w:t>
            </w:r>
          </w:p>
        </w:tc>
      </w:tr>
      <w:tr>
        <w:tc>
          <w:tcPr>
            <w:tcW w:type="dxa" w:w="4320"/>
          </w:tcPr>
          <w:p>
            <w:r>
              <w:t>PostgreSQL update</w:t>
            </w:r>
          </w:p>
        </w:tc>
        <w:tc>
          <w:tcPr>
            <w:tcW w:type="dxa" w:w="4320"/>
          </w:tcPr>
          <w:p>
            <w:r>
              <w:t>100.5 ms</w:t>
            </w:r>
          </w:p>
        </w:tc>
      </w:tr>
    </w:tbl>
    <w:p/>
    <w:p>
      <w:r>
        <w:t>Application Insights customMetrics confirmed support_tickets.analysis.completed = 1 and support_tickets.analysis.duration = 20.6099754 seconds from the worker. These matched the measured successful analysis run. Longer local credential acquisition operations were visible in the traces.</w:t>
      </w:r>
    </w:p>
    <w:p>
      <w:pPr>
        <w:pStyle w:val="Heading1"/>
      </w:pPr>
      <w:r>
        <w:t>9. Outcome and deferred items</w:t>
      </w:r>
    </w:p>
    <w:p>
      <w:r>
        <w:t>Week 5 implementation and successful-path verification are complete: centralized Azure configuration, identity-based service access, end-to-end tracing, structured logs, dependency visibility and all three custom metrics were validated. The following were intentionally left outside the final test scope: deliberate error-handling scenarios, filtering verbose MSAL diagnostics, and dynamic configuration refresh. Their absence from the validation should not be interpreted as a successful test of those behaviors.</w:t>
      </w:r>
    </w:p>
    <w:p>
      <w:r>
        <w:t>The next development phase can build on the existing telemetry foundation without changing the Week 5 workflows.</w:t>
      </w:r>
    </w:p>
    <w:sectPr w:rsidR="00FC693F" w:rsidRPr="0006063C" w:rsidSect="00034616">
      <w:footerReference w:type="default" r:id="rId9"/>
      <w:pgSz w:w="12240" w:h="15840"/>
      <w:pgMar w:top="1008"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Support Ticket Platform  |  Week 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2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426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426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