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BD59CF">
      <w:pPr>
        <w:pBdr/>
        <w:spacing/>
        <w:ind/>
        <w:rPr/>
      </w:pPr>
      <w:r>
        <w:t xml:space="preserve">Resumo Acadêmico</w:t>
      </w:r>
      <w:r/>
    </w:p>
    <w:p w14:paraId="4D096E6F">
      <w:pPr>
        <w:pBdr/>
        <w:spacing/>
        <w:ind/>
        <w:rPr/>
      </w:pPr>
      <w:r>
        <w:t xml:space="preserve">1. Introdução</w:t>
      </w:r>
      <w:r/>
    </w:p>
    <w:p w14:paraId="559C5E7E">
      <w:pPr>
        <w:pBdr/>
        <w:spacing/>
        <w:ind/>
        <w:rPr/>
      </w:pPr>
      <w:r>
        <w:t xml:space="preserve">O projeto VRUM, sigla para Verificação de Risco e Uso de Motores, teve como objetivo reconstruir a trajetória de propriedade de veículos financiados a partir do identificador sintético de chassi. A análise buscou identificar padrões temporais e comportament</w:t>
      </w:r>
      <w:r>
        <w:t xml:space="preserve">ais associados a eventos de risco em uma janela de 90 dias, apoiando posteriormente a definição de uma política operacional com três zonas de decisão: aprovar, investigar e bloquear.</w:t>
      </w:r>
      <w:r/>
    </w:p>
    <w:p w14:paraId="4F2BDBAF">
      <w:pPr>
        <w:pBdr/>
        <w:spacing/>
        <w:ind/>
        <w:rPr/>
      </w:pPr>
      <w:r>
        <w:t xml:space="preserve">Foram analisadas as bases financiamentos_chassi_2026_01.csv, financiamentos_chassi_2026_02.csv e financiamentos_chassi_2026_03.csv, contendo propostas de financiamento realizadas entre 1º de janeiro e 31 de março de 2026. Também foram utilizadas eventos_tar</w:t>
      </w:r>
      <w:r>
        <w:t xml:space="preserve">get_chassi_90d.csv, com os desfechos de risco associados às propostas, e cadastro_chassi_mock.csv, com informações cadastrais dos veículos, como marca, ano-modelo, unidade federativa de registro e valor de referência. Como artefato consolidado, também foi a</w:t>
      </w:r>
      <w:r>
        <w:t xml:space="preserve">nalisada a timeline vrum_timeline_completa.csv.</w:t>
      </w:r>
      <w:r/>
    </w:p>
    <w:p w14:paraId="67E7AEFA">
      <w:pPr>
        <w:pBdr/>
        <w:spacing/>
        <w:ind/>
        <w:rPr/>
      </w:pPr>
      <w:r>
        <w:t xml:space="preserve">O processo utilizou Python, Polars, Jupyter Notebook, Matplotlib, scikit-learn e XGBoost. Scripts legados do projeto também utilizavam Pandas.</w:t>
      </w:r>
      <w:r/>
    </w:p>
    <w:p w14:paraId="55D197FA">
      <w:pPr>
        <w:pBdr/>
        <w:spacing/>
        <w:ind/>
        <w:rPr/>
      </w:pPr>
      <w:r>
        <w:t xml:space="preserve">2. Desafios técnicos e metodológicos</w:t>
      </w:r>
      <w:r/>
    </w:p>
    <w:p w14:paraId="58D401D5">
      <w:pPr>
        <w:pBdr/>
        <w:spacing/>
        <w:ind/>
        <w:rPr/>
      </w:pPr>
      <w:r>
        <w:t xml:space="preserve">Qualidade e formato dos dados</w:t>
      </w:r>
      <w:r/>
    </w:p>
    <w:p w14:paraId="380CA96A">
      <w:pPr>
        <w:pBdr/>
        <w:spacing/>
        <w:ind/>
        <w:rPr/>
      </w:pPr>
      <w:r>
        <w:t xml:space="preserve">As bases utilizavam separador ponto e vírgula, datas armazenadas como texto e campos vazios representando valores ausentes. Além disso, alguns valores numéricos foram inicialmente inferidos como números de ponto flutuante, mesmo quando representavam quantid</w:t>
      </w:r>
      <w:r>
        <w:t xml:space="preserve">ades inteiras.</w:t>
      </w:r>
      <w:r/>
    </w:p>
    <w:p w14:paraId="3A9C6AB4">
      <w:pPr>
        <w:pBdr/>
        <w:spacing/>
        <w:ind/>
        <w:rPr/>
      </w:pPr>
      <w:r>
        <w:t xml:space="preserve">A abordagem adotada consistiu em validar dimensões, esquemas, amostras e tipos antes da integração. As datas foram convertidas explicitamente para tipos temporais e os campos vazios foram tratados como nulos pelo Polars. Essa etapa evitou que erros de leitu</w:t>
      </w:r>
      <w:r>
        <w:t xml:space="preserve">ra contaminassem as análises posteriores.</w:t>
      </w:r>
      <w:r/>
    </w:p>
    <w:p w14:paraId="324CEA61">
      <w:pPr>
        <w:pBdr/>
        <w:spacing/>
        <w:ind/>
        <w:rPr/>
      </w:pPr>
      <w:r>
        <w:t xml:space="preserve">Integração entre propostas, eventos e cadastro</w:t>
      </w:r>
      <w:r/>
    </w:p>
    <w:p w14:paraId="064B6F1D">
      <w:pPr>
        <w:pBdr/>
        <w:spacing/>
        <w:ind/>
        <w:rPr/>
      </w:pPr>
      <w:r>
        <w:t xml:space="preserve">A tabela de eventos não possuía uma data própria para o evento de risco. A data foi reconstruída somando dias_ate_evento à data da proposta correspondente. A integração foi realizada por id_proposta, enquanto a reconstrução da trajetória foi organizada por </w:t>
      </w:r>
      <w:r>
        <w:t xml:space="preserve">chassi_id_sintetico.</w:t>
      </w:r>
      <w:r/>
    </w:p>
    <w:p w14:paraId="1A78AE5C">
      <w:pPr>
        <w:pBdr/>
        <w:spacing/>
        <w:ind/>
        <w:rPr/>
      </w:pPr>
      <w:r>
        <w:t xml:space="preserve">Na timeline consolidada, uma mesma proposta podia aparecer associada à sua linha original e a uma linha posterior de evento de risco. Por isso, tornou-se necessário distinguir registros de proposta de registros de evento. Somente propostas foram utilizadas </w:t>
      </w:r>
      <w:r>
        <w:t xml:space="preserve">como observações preditoras; os eventos foram utilizados exclusivamente para construir o target.</w:t>
      </w:r>
      <w:r/>
    </w:p>
    <w:p w14:paraId="47DFD7B7">
      <w:pPr>
        <w:pBdr/>
        <w:spacing/>
        <w:ind/>
        <w:rPr/>
      </w:pPr>
      <w:r>
        <w:t xml:space="preserve">Valores ausentes e target não observado</w:t>
      </w:r>
      <w:r/>
    </w:p>
    <w:p w14:paraId="6C918662">
      <w:pPr>
        <w:pBdr/>
        <w:spacing/>
        <w:ind/>
        <w:rPr/>
      </w:pPr>
      <w:r>
        <w:t xml:space="preserve">A base de propostas possuía 2.129.214 registros, enquanto a tabela de eventos possuía 2.129.213 registros. Assim, uma proposta não possuía registro correspondente de evento. Esse caso não foi automaticamente classificado como legítimo, pois ausência de regi</w:t>
      </w:r>
      <w:r>
        <w:t xml:space="preserve">stro não equivale necessariamente à ausência de risco.</w:t>
      </w:r>
      <w:r/>
    </w:p>
    <w:p w14:paraId="1EF42F6B">
      <w:pPr>
        <w:pBdr/>
        <w:spacing/>
        <w:ind/>
        <w:rPr/>
      </w:pPr>
      <w:r>
        <w:t xml:space="preserve">A proposta foi marcada como target_nao_observado e excluída do treinamento supervisionado. Essa decisão preservou a validade da avaliação e evitou introduzir um rótulo artificial.</w:t>
      </w:r>
      <w:r/>
    </w:p>
    <w:p w14:paraId="2382E8A3">
      <w:pPr>
        <w:pBdr/>
        <w:spacing/>
        <w:ind/>
        <w:rPr/>
      </w:pPr>
      <w:r>
        <w:t xml:space="preserve">Prevenção de vazamento temporal</w:t>
      </w:r>
      <w:r/>
    </w:p>
    <w:p w14:paraId="26B78937">
      <w:pPr>
        <w:pBdr/>
        <w:spacing/>
        <w:ind/>
        <w:rPr/>
      </w:pPr>
      <w:r>
        <w:t xml:space="preserve">Como o target representa um evento futuro, havia risco de o modelo utilizar informações indisponíveis no momento da proposta. Para evitar esse problema, as features temporais foram calculadas somente com registros anteriores do mesmo chassi.</w:t>
      </w:r>
      <w:r/>
    </w:p>
    <w:p w14:paraId="06683B06">
      <w:pPr>
        <w:pBdr/>
        <w:spacing/>
        <w:ind/>
        <w:rPr/>
      </w:pPr>
      <w:r>
        <w:t xml:space="preserve">Foram utilizadas janelas exclusivas de 7, 15, 30, 45 e 90 dias. A mediana acumulada do tempo de posse foi calculada com deslocamento (shift), excluindo a transação atual. O split temporal foi organizado em blocos consecutivos de 30 dias: treino, validação e</w:t>
      </w:r>
      <w:r>
        <w:t xml:space="preserve"> avaliação fora do tempo, denominada OOT. A codificação de categorias também foi ajustada com base somente nos valores observados no treino.</w:t>
      </w:r>
      <w:r/>
    </w:p>
    <w:p w14:paraId="63D6B286">
      <w:pPr>
        <w:pBdr/>
        <w:spacing/>
        <w:ind/>
        <w:rPr/>
      </w:pPr>
      <w:r>
        <w:t xml:space="preserve">Ausência de separação preditiva</w:t>
      </w:r>
      <w:r/>
    </w:p>
    <w:p w14:paraId="620BFC0F">
      <w:pPr>
        <w:pBdr/>
        <w:spacing/>
        <w:ind/>
        <w:rPr/>
      </w:pPr>
      <w:r>
        <w:t xml:space="preserve">A análise exploratória não encontrou separação clara entre propostas legítimas e propostas com risco. O Índice de Rotatividade VRUM, construído pela razão entre transferências recentes e mediana histórica do tempo de posse, apresentou distribuições praticam</w:t>
      </w:r>
      <w:r>
        <w:t xml:space="preserve">ente iguais entre os grupos.</w:t>
      </w:r>
      <w:r/>
    </w:p>
    <w:p w14:paraId="59BD79B0">
      <w:pPr>
        <w:pBdr/>
        <w:spacing/>
        <w:ind/>
        <w:rPr/>
      </w:pPr>
      <w:r>
        <w:t xml:space="preserve">O XGBoost obteve AUC de aproximadamente 0,64 no treino, mas apenas 0,50 na validação e 0,498 no OOT. A diferença indicou sobreajuste ou ausência de sinal generalizável. Dessa forma, a importância das variáveis não foi interpretada como evidência de eficácia</w:t>
      </w:r>
      <w:r>
        <w:t xml:space="preserve">.</w:t>
      </w:r>
      <w:r/>
    </w:p>
    <w:p w14:paraId="1B351B41">
      <w:pPr>
        <w:pBdr/>
        <w:spacing/>
        <w:ind/>
        <w:rPr/>
      </w:pPr>
      <w:r>
        <w:t xml:space="preserve">Política operacional e estimativa financeira</w:t>
      </w:r>
      <w:r/>
    </w:p>
    <w:p w14:paraId="2068B0C5">
      <w:pPr>
        <w:pBdr/>
        <w:spacing/>
        <w:ind/>
        <w:rPr/>
      </w:pPr>
      <w:r>
        <w:t xml:space="preserve">Foi criada uma política com cortes definidos pelos percentis 95 e 99 dos scores na validação. A exposição financeira foi estimada com valor_financiado, enquanto valor_fipe_referencia foi utilizado para calcular o LTV.</w:t>
      </w:r>
      <w:r/>
    </w:p>
    <w:p w14:paraId="444990FE">
      <w:pPr>
        <w:pBdr/>
        <w:spacing/>
        <w:ind/>
        <w:rPr/>
      </w:pPr>
      <w:r>
        <w:t xml:space="preserve">Entretanto, não havia informações sobre saldo devedor, recuperação do veículo, custos de investigação ou perdas realizadas. Assim, os valores foram tratados como exposição e saving proxy, não como saving efetivo.</w:t>
      </w:r>
      <w:r/>
    </w:p>
    <w:p w14:paraId="69D23B1B">
      <w:pPr>
        <w:pBdr/>
        <w:spacing/>
        <w:ind/>
        <w:rPr/>
      </w:pPr>
      <w:r>
        <w:t xml:space="preserve">3. Considerações finais</w:t>
      </w:r>
      <w:r/>
    </w:p>
    <w:p w14:paraId="274B7915">
      <w:pPr>
        <w:pBdr/>
        <w:spacing/>
        <w:ind/>
        <w:rPr/>
      </w:pPr>
      <w:r>
        <w:t xml:space="preserve">Os resultados demonstraram que a ausência de uma variável decisiva não representa falha metodológica. Pelo contrário, revelou que o conjunto disponível não sustenta decisões automáticas confiáveis. A principal contribuição do trabalho foi estabelecer um pro</w:t>
      </w:r>
      <w:r>
        <w:t xml:space="preserve">cesso auditável, temporalmente consistente e explicável, além de impedir que um score sem capacidade comprovada produzisse bloqueios indevidos.</w:t>
      </w:r>
      <w:r/>
    </w:p>
    <w:p>
      <w:pPr>
        <w:pBdr/>
        <w:spacing/>
        <w:ind/>
        <w:rPr/>
      </w:pPr>
      <w:r>
        <w:t xml:space="preserve">Como próximos passos, recomenda-se validar a regra de geração do target, obter dados reais de perdas e recuperações, registrar resultados da análise manual e reavaliar o modelo em ambiente controlado. Até que essas evidências estejam disponíveis, a política</w:t>
      </w:r>
      <w:r>
        <w:t xml:space="preserve"> mais adequada é utilizar a zona de investigação em modo piloto e manter o bloqueio automático desabilitado.</w:t>
      </w:r>
      <w:r/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2026-09-03T22:56:11Z</dcterms:modified>
</cp:coreProperties>
</file>