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Desafio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Residência Tecnológica em Análise de Dados e Inteligência Artificial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we45vlcqq5px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Mentora/Especialista Responsável</w:t>
        <w:br w:type="textWrapping"/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Liste o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nome do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responsável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 pelo acompanhamento do eixo.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Victor Acioli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i w:val="1"/>
          <w:iCs w:val="1"/>
          <w:sz w:val="24"/>
          <w:szCs w:val="24"/>
        </w:rPr>
      </w:pPr>
      <w:bookmarkStart w:colFirst="0" w:colLast="0" w:name="_eb2jynvwxj4z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Nome do Eixo Temático</w:t>
        <w:br w:type="textWrapping"/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Título claro e representativo do domínio de atuação.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Antifraude no Histórico de Propriedade Veicular (Chassi)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i w:val="1"/>
          <w:iCs w:val="1"/>
          <w:sz w:val="24"/>
          <w:szCs w:val="24"/>
        </w:rPr>
      </w:pPr>
      <w:bookmarkStart w:colFirst="0" w:colLast="0" w:name="_fcek5989ceqa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Descrição Geral do Eixo</w:t>
        <w:br w:type="textWrapping"/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Apresente o propósito e a importância do eixo dentro do contexto de atuação da Neurotech.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objetivo deste eixo é utilizar análise de dados e inteligência artificial para reconstruir e interpretar a trajetória de propriedade de um veículo — identificada pelo chassi — e identificar padrões de transferência que indiquem risco de fraude antes ou durante o financiamento.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foco não está apenas em detectar uma transferência isolada, mas em entender a sequência completa de eventos (quem possuiu o veículo, por quanto tempo, em que ordem e sob que circunstância) para apoiar uma decisão antifraude mais precisa no momento da concessão do crédito.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tese central do eixo é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Uma troca recente isolada pode ser legítima. O sinal para investigação surge da combinação de múltiplas passagens em curto prazo, baixa permanência e histórico fora do padrão.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i w:val="1"/>
          <w:iCs w:val="1"/>
          <w:sz w:val="24"/>
          <w:szCs w:val="24"/>
        </w:rPr>
      </w:pPr>
      <w:bookmarkStart w:colFirst="0" w:colLast="0" w:name="_g9ol5u7yhrzl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Problemas e Desafios Reais</w:t>
        <w:br w:type="textWrapping"/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Liste os principais desafios enfrentados pela área ou oportunidades de aplicação de IA e dados.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Instituições financeiras precisam equilibrar três objetivos conflitantes ao mesmo tempo: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Aprovar rápido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para não prejudicar a conversão e a experiência do cliente.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Manter a segurança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para não financiar um ativo com histórico de propriedade manipulado.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Operar com eficiência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para não sobrecarregar mesas de análise manual.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Transferências sucessivas de chassi podem anteceder o financiamento e dificultar a recuperação do ativo em caso de inadimplência ou fraude. O risco potencial está na combinação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velocidade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sequência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permanência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proprietário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 financeiro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e dificilmente aparece de forma explícita em um único evento isolado: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600700" cy="38989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89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desafio central é transformar a linha do tempo bruta de propriedade de cada chassi em indicadores explicáveis que aumentem a confiança para aprovar bons ativos, reduzam a perda por dificuldade de recuperação e melhorem a eficiência da esteira antifraude — sem penalizar excessivamente transferências legítimas (ex.: revenda comum entre pessoas físicas).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i w:val="1"/>
          <w:iCs w:val="1"/>
          <w:sz w:val="24"/>
          <w:szCs w:val="24"/>
        </w:rPr>
      </w:pPr>
      <w:bookmarkStart w:colFirst="0" w:colLast="0" w:name="_x0kgiuab25vb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Possibilidades de Aplicação / Projeto</w:t>
        <w:br w:type="textWrapping"/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Apresente exemplos de aplicações ou desafios que os residentes podem desenvolver.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participantes receberão uma base de dados anonimizada e poderão escolher uma ou mais das frentes abaixo. A combinação das frentes em uma solução integrada é valorizada.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Frente A — Análise Exploratória e Engenharia de Variáveis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Reconstruir a linha do tempo completa de propriedade por chassi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Investigar padrões temporais: transferências em 7, 15, 30 e 90 dias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variáveis de permanência (atual e anterior), média e mediana do tempo de posse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Mapear sequências de tipo de proprietário (PF/PJ) e CNAE associado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diferenças de comportamento entre cadeias de propriedade suspeitas e legítimas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Frente B — Modelagem e Avaliação Técnica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o target mais adequado ao problema, com janela de performance de 90 dias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split temporal para evitar vazamento de informação (leakage)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Treinar modelo supervisionado (logit, árvore, boosting) ou motor de regras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Avaliar com métricas técnicas: AUC, KS, Precision, Recall e PR-AUC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Comparar abordagem de score puro vs. score + indicadores híbridos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Frente C — Estratégia de Decisão e Política Operacional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 uma política de uso baseada nas faixas do score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três zonas: aprovar | investigar | bloquear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Estimar o impacto de cada threshold em: captura, falso positivo e saving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Analisar a estabilidade dos thresholds por instituição financeira (IF) e por safra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 indicadores de monitoramento pós-implantação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Perguntas Norteadoras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Estas perguntas devem guiar a investigação e a apresentação final dos participantes: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Quais combinações de velocidade, sequência e permanência distinguem melhor uma cadeia de propriedade legítima de uma suspeita?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que muda quando observamos o chassi em diferentes janelas temporais (7, 15, 30, 90 dias)?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Uma passagem isolada (ex.: PF → revenda → PF) deve ser tratada como risco, ou o sinal só emerge na combinação de múltiplos eventos?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reduzir falso positivo sem perder capacidade de captura de fraude?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padrão de risco se comporta de forma diferente entre instituições financeiras e entre safras?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score isolado resolve o problema — ou a melhor solução é híbrida (score + regras)?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medir o valor de negócio do modelo além das métricas estatísticas (saving, recuperação de ativo)?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Dados e Variáveis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base anonimizada conterá o cadastro de chassi, o histórico bruto de propriedade e os financiamentos mensais associados.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Nenhuma variável comportamental é entregue pronta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todas devem ser construídas pelos participantes a partir dos eventos brutos.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600700" cy="4686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468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 base de dados: &lt;Link&gt;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 e Abordagens Possíveis 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Análise Exploratória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Reconstrução e visualização da linha do tempo por chassi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Perfilamento de eventos raros e análise de distribuição das passagens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de frequência e comportamento por coorte/safra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Engenharia de Variáveis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Contagens de transferências por janela temporal (7d, 15d, 30d, 90d)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Permanência atual e anterior, média e mediana de tempo de posse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Sequências PF/PJ e flags de alternância atípica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Cruzamento de CNAE com o tipo de ativo financiado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Indicadores de modalidade de aquisição (à vista vs. financiada) e intervalos entre passagens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Modelagem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Classificação supervisionada: Regressão Logística, Árvores, XGBoost, LightGBM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de regras e abordagens híbridas (score + regra)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Split temporal e controle rigoroso de vazamento de informação (leakage)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de threshold e curvas de decisão (Precision-Recall, KS)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Avaliação de Impacto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Métricas de separação: AUC, KS, PR-AUC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Métricas operacionais: Precision, Recall, F1 por faixa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Estimativa de saving (recuperação de ativo/risco evitado) e custo de falso positivo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de estabilidade do score por IF e por safra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Lembrete Final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objetivo não é construir o modelo mais complexo. É mostrar como a reconstrução cuidadosa da história de propriedade de um chassi pode melhorar uma decisão real de negócio — reduzindo perda, aumentando a confiança na concessão e gerando valor mensurável.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padrão isolado confirma fraude. Uma sequência como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PF → revenda → PF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 ser inteiramente legítima. A análise deve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combinar múltiplos sinais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(velocidade, permanência, sequência, tipo de proprietário) e controlar ativamente os falsos positivos, para não penalizar transferências normais do mercado de veículos usados.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bookmarkStart w:colFirst="0" w:colLast="0" w:name="_puwwlhbzdef8" w:id="5"/>
      <w:bookmarkEnd w:id="5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color w:val="1b1f2e"/>
      </w:rPr>
      <w:drawing>
        <wp:inline distB="114300" distT="114300" distL="114300" distR="114300">
          <wp:extent cx="3690938" cy="365612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90938" cy="3656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2009775</wp:posOffset>
          </wp:positionH>
          <wp:positionV relativeFrom="paragraph">
            <wp:posOffset>-90485</wp:posOffset>
          </wp:positionV>
          <wp:extent cx="704850" cy="419911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4850" cy="4199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2857500</wp:posOffset>
          </wp:positionH>
          <wp:positionV relativeFrom="paragraph">
            <wp:posOffset>-95249</wp:posOffset>
          </wp:positionV>
          <wp:extent cx="919163" cy="440162"/>
          <wp:effectExtent b="0" l="0" r="0" t="0"/>
          <wp:wrapNone/>
          <wp:docPr descr="(Original)Trillia_Endosso_Vertical.png" id="1" name="image1.png"/>
          <a:graphic>
            <a:graphicData uri="http://schemas.openxmlformats.org/drawingml/2006/picture">
              <pic:pic>
                <pic:nvPicPr>
                  <pic:cNvPr descr="(Original)Trillia_Endosso_Vertical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9163" cy="44016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