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Table"/>
        <w:name w:val="Таблица10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82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82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1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10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11"/>
              <w:numPr>
                <w:ilvl w:val="0"/>
                <w:numId w:val="6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SOLID в ООП.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11"/>
              <w:numPr>
                <w:ilvl w:val="0"/>
                <w:numId w:val="6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инструменты ООП: интерфейсы и трейты.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  <w:tab w:val="left" w:pos="709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2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82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82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2020-05-07T10:53:44Z</dcterms:modified>
</cp:coreProperties>
</file>