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040" w:rsidRPr="00F90F59" w:rsidRDefault="00F90F59">
      <w:pPr>
        <w:rPr>
          <w:rFonts w:asciiTheme="majorHAnsi" w:hAnsiTheme="majorHAnsi"/>
          <w:b/>
          <w:sz w:val="24"/>
          <w:szCs w:val="24"/>
        </w:rPr>
      </w:pPr>
      <w:bookmarkStart w:id="0" w:name="_GoBack"/>
      <w:bookmarkEnd w:id="0"/>
      <w:r>
        <w:rPr>
          <w:rFonts w:asciiTheme="majorHAnsi" w:hAnsiTheme="majorHAnsi"/>
          <w:b/>
          <w:sz w:val="24"/>
          <w:szCs w:val="24"/>
        </w:rPr>
        <w:t xml:space="preserve">DPET 831 </w:t>
      </w:r>
      <w:r w:rsidR="00302893" w:rsidRPr="00F90F59">
        <w:rPr>
          <w:rFonts w:asciiTheme="majorHAnsi" w:hAnsiTheme="majorHAnsi"/>
          <w:b/>
          <w:sz w:val="24"/>
          <w:szCs w:val="24"/>
        </w:rPr>
        <w:t>Exercise 2</w:t>
      </w:r>
      <w:r>
        <w:rPr>
          <w:rFonts w:asciiTheme="majorHAnsi" w:hAnsiTheme="majorHAnsi"/>
          <w:b/>
          <w:sz w:val="24"/>
          <w:szCs w:val="24"/>
        </w:rPr>
        <w:t>, Spring 2016</w:t>
      </w:r>
      <w:r w:rsidR="009977E3">
        <w:rPr>
          <w:rFonts w:asciiTheme="majorHAnsi" w:hAnsiTheme="majorHAnsi"/>
          <w:b/>
          <w:sz w:val="24"/>
          <w:szCs w:val="24"/>
        </w:rPr>
        <w:t>, Solutions</w:t>
      </w:r>
    </w:p>
    <w:p w:rsidR="00302893" w:rsidRPr="000F78A1" w:rsidRDefault="00302893">
      <w:pPr>
        <w:rPr>
          <w:rFonts w:asciiTheme="majorHAnsi" w:hAnsiTheme="majorHAnsi"/>
          <w:sz w:val="24"/>
          <w:szCs w:val="24"/>
        </w:rPr>
      </w:pPr>
      <w:r w:rsidRPr="000F78A1">
        <w:rPr>
          <w:rFonts w:asciiTheme="majorHAnsi" w:hAnsiTheme="majorHAnsi"/>
          <w:sz w:val="24"/>
          <w:szCs w:val="24"/>
        </w:rPr>
        <w:t xml:space="preserve">Migraine is a common cause of chronic pain and is the most prevalent neurologic disorder, affecting 16% of adult women and 7% of adult men.  Abortive therapies for migraine have improved treatment options substantially, but their cost and side effects limit their use in many individuals.  Preventative therapies, such as topiramate have offered some benefit albeit incomplete.  Hence, additional therapeutic approaches </w:t>
      </w:r>
      <w:r w:rsidR="00BA15AE" w:rsidRPr="000F78A1">
        <w:rPr>
          <w:rFonts w:asciiTheme="majorHAnsi" w:hAnsiTheme="majorHAnsi"/>
          <w:sz w:val="24"/>
          <w:szCs w:val="24"/>
        </w:rPr>
        <w:t xml:space="preserve">have been eagerly awaited. </w:t>
      </w:r>
    </w:p>
    <w:p w:rsidR="00BA15AE" w:rsidRPr="000F78A1" w:rsidRDefault="00BA15AE">
      <w:pPr>
        <w:rPr>
          <w:rFonts w:asciiTheme="majorHAnsi" w:hAnsiTheme="majorHAnsi"/>
          <w:sz w:val="24"/>
          <w:szCs w:val="24"/>
        </w:rPr>
      </w:pPr>
      <w:r w:rsidRPr="000F78A1">
        <w:rPr>
          <w:rFonts w:asciiTheme="majorHAnsi" w:hAnsiTheme="majorHAnsi"/>
          <w:sz w:val="24"/>
          <w:szCs w:val="24"/>
        </w:rPr>
        <w:t>The following data was collected from 90 migraine sufferers</w:t>
      </w:r>
      <w:r w:rsidR="00841A49">
        <w:rPr>
          <w:rFonts w:asciiTheme="majorHAnsi" w:hAnsiTheme="majorHAnsi"/>
          <w:sz w:val="24"/>
          <w:szCs w:val="24"/>
        </w:rPr>
        <w:t xml:space="preserve"> attending local neurology clinics</w:t>
      </w:r>
      <w:r w:rsidRPr="000F78A1">
        <w:rPr>
          <w:rFonts w:asciiTheme="majorHAnsi" w:hAnsiTheme="majorHAnsi"/>
          <w:sz w:val="24"/>
          <w:szCs w:val="24"/>
        </w:rPr>
        <w:t>, some with episodic migraine (&lt;15 headaches per week) and others with chronic migraine (15 or more headaches per week).  Individuals were included if they had documented migraine for at least 2 years, with or without prior head injury, but without other definable causes of headache.  Inclusion and exclusion criteria are listed below.</w:t>
      </w:r>
    </w:p>
    <w:tbl>
      <w:tblPr>
        <w:tblW w:w="0" w:type="auto"/>
        <w:jc w:val="center"/>
        <w:tblCellSpacing w:w="30" w:type="dxa"/>
        <w:tblBorders>
          <w:top w:val="single" w:sz="4" w:space="0" w:color="auto"/>
          <w:left w:val="single" w:sz="4" w:space="0" w:color="auto"/>
          <w:bottom w:val="single" w:sz="4" w:space="0" w:color="auto"/>
          <w:right w:val="single" w:sz="4" w:space="0" w:color="auto"/>
        </w:tblBorders>
        <w:tblCellMar>
          <w:top w:w="40" w:type="dxa"/>
          <w:left w:w="40" w:type="dxa"/>
          <w:bottom w:w="40" w:type="dxa"/>
          <w:right w:w="40" w:type="dxa"/>
        </w:tblCellMar>
        <w:tblLook w:val="04A0" w:firstRow="1" w:lastRow="0" w:firstColumn="1" w:lastColumn="0" w:noHBand="0" w:noVBand="1"/>
      </w:tblPr>
      <w:tblGrid>
        <w:gridCol w:w="3638"/>
        <w:gridCol w:w="6192"/>
      </w:tblGrid>
      <w:tr w:rsidR="00BA15AE" w:rsidRPr="000F78A1" w:rsidTr="00FA11DF">
        <w:trPr>
          <w:trHeight w:val="119"/>
          <w:tblCellSpacing w:w="30" w:type="dxa"/>
          <w:jc w:val="center"/>
        </w:trPr>
        <w:tc>
          <w:tcPr>
            <w:tcW w:w="3780" w:type="dxa"/>
            <w:tcBorders>
              <w:top w:val="single" w:sz="4" w:space="0" w:color="auto"/>
              <w:bottom w:val="single" w:sz="4" w:space="0" w:color="auto"/>
              <w:right w:val="single" w:sz="4" w:space="0" w:color="auto"/>
            </w:tcBorders>
            <w:vAlign w:val="center"/>
          </w:tcPr>
          <w:p w:rsidR="00BA15AE" w:rsidRPr="000F78A1" w:rsidRDefault="00BA15AE" w:rsidP="00FA11DF">
            <w:pPr>
              <w:jc w:val="center"/>
              <w:rPr>
                <w:rFonts w:eastAsia="Times New Roman" w:cs="Arial"/>
                <w:sz w:val="20"/>
                <w:szCs w:val="20"/>
              </w:rPr>
            </w:pPr>
            <w:r w:rsidRPr="000F78A1">
              <w:rPr>
                <w:rFonts w:eastAsia="Times New Roman" w:cs="Arial"/>
                <w:b/>
                <w:bCs/>
                <w:sz w:val="20"/>
                <w:szCs w:val="20"/>
              </w:rPr>
              <w:t>Inclusion Criteria</w:t>
            </w:r>
          </w:p>
        </w:tc>
        <w:tc>
          <w:tcPr>
            <w:tcW w:w="6590" w:type="dxa"/>
            <w:tcBorders>
              <w:top w:val="single" w:sz="4" w:space="0" w:color="auto"/>
              <w:left w:val="single" w:sz="4" w:space="0" w:color="auto"/>
              <w:bottom w:val="single" w:sz="4" w:space="0" w:color="auto"/>
            </w:tcBorders>
            <w:vAlign w:val="center"/>
          </w:tcPr>
          <w:p w:rsidR="00BA15AE" w:rsidRPr="000F78A1" w:rsidRDefault="00BA15AE" w:rsidP="00FA11DF">
            <w:pPr>
              <w:jc w:val="center"/>
              <w:rPr>
                <w:rFonts w:eastAsia="Times New Roman" w:cs="Arial"/>
                <w:sz w:val="20"/>
                <w:szCs w:val="20"/>
              </w:rPr>
            </w:pPr>
            <w:r w:rsidRPr="000F78A1">
              <w:rPr>
                <w:rFonts w:eastAsia="Times New Roman" w:cs="Arial"/>
                <w:b/>
                <w:bCs/>
                <w:sz w:val="20"/>
                <w:szCs w:val="20"/>
              </w:rPr>
              <w:t>Exclusion Criteria</w:t>
            </w:r>
          </w:p>
        </w:tc>
      </w:tr>
      <w:tr w:rsidR="00BA15AE" w:rsidRPr="000F78A1" w:rsidTr="00CA4B1B">
        <w:trPr>
          <w:trHeight w:hRule="exact" w:val="3230"/>
          <w:tblCellSpacing w:w="30" w:type="dxa"/>
          <w:jc w:val="center"/>
        </w:trPr>
        <w:tc>
          <w:tcPr>
            <w:tcW w:w="3780" w:type="dxa"/>
            <w:tcBorders>
              <w:top w:val="single" w:sz="4" w:space="0" w:color="auto"/>
              <w:bottom w:val="single" w:sz="4" w:space="0" w:color="auto"/>
              <w:right w:val="single" w:sz="4" w:space="0" w:color="auto"/>
            </w:tcBorders>
          </w:tcPr>
          <w:p w:rsidR="00BA15AE" w:rsidRPr="000F78A1" w:rsidRDefault="00BA15AE" w:rsidP="000F78A1">
            <w:pPr>
              <w:spacing w:after="0"/>
              <w:rPr>
                <w:rFonts w:eastAsia="Times New Roman" w:cs="Arial"/>
                <w:sz w:val="20"/>
                <w:szCs w:val="20"/>
              </w:rPr>
            </w:pPr>
            <w:r w:rsidRPr="000F78A1">
              <w:rPr>
                <w:rFonts w:eastAsia="Times New Roman" w:cs="Arial"/>
                <w:sz w:val="20"/>
                <w:szCs w:val="20"/>
              </w:rPr>
              <w:t>• 18 years of age or older</w:t>
            </w:r>
          </w:p>
          <w:p w:rsidR="00CA4B1B" w:rsidRPr="000F78A1" w:rsidRDefault="00BA15AE" w:rsidP="000F78A1">
            <w:pPr>
              <w:spacing w:after="0"/>
              <w:rPr>
                <w:rFonts w:eastAsia="Times New Roman" w:cs="Arial"/>
                <w:sz w:val="20"/>
                <w:szCs w:val="20"/>
              </w:rPr>
            </w:pPr>
            <w:r w:rsidRPr="000F78A1">
              <w:rPr>
                <w:rFonts w:eastAsia="Times New Roman" w:cs="Arial"/>
                <w:sz w:val="20"/>
                <w:szCs w:val="20"/>
              </w:rPr>
              <w:t>• Either gender</w:t>
            </w:r>
            <w:r w:rsidRPr="000F78A1">
              <w:rPr>
                <w:rFonts w:eastAsia="Times New Roman" w:cs="Arial"/>
                <w:sz w:val="20"/>
                <w:szCs w:val="20"/>
              </w:rPr>
              <w:br/>
              <w:t>• Meets 2004 ICHD-II*</w:t>
            </w:r>
            <w:r w:rsidRPr="000F78A1">
              <w:rPr>
                <w:rStyle w:val="CommentReference"/>
                <w:rFonts w:eastAsia="MS Mincho"/>
                <w:sz w:val="20"/>
                <w:szCs w:val="20"/>
                <w:lang w:eastAsia="ja-JP"/>
              </w:rPr>
              <w:t xml:space="preserve"> </w:t>
            </w:r>
            <w:r w:rsidRPr="000F78A1">
              <w:rPr>
                <w:rFonts w:eastAsia="Times New Roman" w:cs="Arial"/>
                <w:sz w:val="20"/>
                <w:szCs w:val="20"/>
              </w:rPr>
              <w:t>criteria for  Migraine</w:t>
            </w:r>
            <w:r w:rsidRPr="000F78A1">
              <w:rPr>
                <w:rFonts w:eastAsia="Times New Roman" w:cs="Arial"/>
                <w:sz w:val="20"/>
                <w:szCs w:val="20"/>
              </w:rPr>
              <w:br/>
              <w:t>• Headache history: &gt; 2 years leading up to study meeting migraine criteria</w:t>
            </w:r>
            <w:r w:rsidRPr="000F78A1">
              <w:rPr>
                <w:rFonts w:eastAsia="Times New Roman" w:cs="Arial"/>
                <w:sz w:val="20"/>
                <w:szCs w:val="20"/>
              </w:rPr>
              <w:br/>
              <w:t xml:space="preserve">• Willing to complete </w:t>
            </w:r>
            <w:r w:rsidR="00CA4B1B" w:rsidRPr="000F78A1">
              <w:rPr>
                <w:rFonts w:eastAsia="Times New Roman" w:cs="Arial"/>
                <w:sz w:val="20"/>
                <w:szCs w:val="20"/>
              </w:rPr>
              <w:t>a headache diary</w:t>
            </w:r>
          </w:p>
          <w:p w:rsidR="00BA15AE" w:rsidRPr="000F78A1" w:rsidRDefault="00BA15AE" w:rsidP="00CA4B1B">
            <w:pPr>
              <w:rPr>
                <w:rFonts w:eastAsia="Times New Roman" w:cs="Arial"/>
                <w:sz w:val="20"/>
                <w:szCs w:val="20"/>
              </w:rPr>
            </w:pPr>
            <w:r w:rsidRPr="000F78A1">
              <w:rPr>
                <w:rFonts w:eastAsia="Times New Roman" w:cs="Arial"/>
                <w:sz w:val="20"/>
                <w:szCs w:val="20"/>
              </w:rPr>
              <w:t>• Under care of a physician for headaches</w:t>
            </w:r>
            <w:r w:rsidRPr="000F78A1">
              <w:rPr>
                <w:rFonts w:eastAsia="Times New Roman" w:cs="Arial"/>
                <w:sz w:val="20"/>
                <w:szCs w:val="20"/>
              </w:rPr>
              <w:br/>
              <w:t>• Able to read and communicate in English</w:t>
            </w:r>
          </w:p>
        </w:tc>
        <w:tc>
          <w:tcPr>
            <w:tcW w:w="6590" w:type="dxa"/>
            <w:tcBorders>
              <w:top w:val="single" w:sz="4" w:space="0" w:color="auto"/>
              <w:left w:val="single" w:sz="4" w:space="0" w:color="auto"/>
              <w:bottom w:val="single" w:sz="4" w:space="0" w:color="auto"/>
            </w:tcBorders>
            <w:vAlign w:val="center"/>
          </w:tcPr>
          <w:p w:rsidR="00BA15AE" w:rsidRPr="000F78A1" w:rsidRDefault="00BA15AE" w:rsidP="000F78A1">
            <w:pPr>
              <w:spacing w:after="0"/>
              <w:rPr>
                <w:rFonts w:eastAsia="Times New Roman" w:cs="Arial"/>
                <w:sz w:val="20"/>
                <w:szCs w:val="20"/>
              </w:rPr>
            </w:pPr>
            <w:r w:rsidRPr="000F78A1">
              <w:rPr>
                <w:rFonts w:eastAsia="Times New Roman" w:cs="Arial"/>
                <w:sz w:val="20"/>
                <w:szCs w:val="20"/>
              </w:rPr>
              <w:t xml:space="preserve">• Marked depression, anxiety or psychosis. </w:t>
            </w:r>
          </w:p>
          <w:p w:rsidR="00BA15AE" w:rsidRPr="000F78A1" w:rsidRDefault="00BA15AE" w:rsidP="000F78A1">
            <w:pPr>
              <w:spacing w:after="0"/>
              <w:rPr>
                <w:rFonts w:eastAsia="Times New Roman" w:cs="Arial"/>
                <w:sz w:val="20"/>
                <w:szCs w:val="20"/>
              </w:rPr>
            </w:pPr>
            <w:r w:rsidRPr="000F78A1">
              <w:rPr>
                <w:rFonts w:eastAsia="Times New Roman" w:cs="Arial"/>
                <w:sz w:val="20"/>
                <w:szCs w:val="20"/>
              </w:rPr>
              <w:t>• Pregnancy or anticipated pregnancy</w:t>
            </w:r>
          </w:p>
          <w:p w:rsidR="00BA15AE" w:rsidRPr="000F78A1" w:rsidRDefault="00BA15AE" w:rsidP="00FA11DF">
            <w:pPr>
              <w:rPr>
                <w:rFonts w:eastAsia="Times New Roman" w:cs="Arial"/>
                <w:sz w:val="20"/>
                <w:szCs w:val="20"/>
              </w:rPr>
            </w:pPr>
            <w:r w:rsidRPr="000F78A1">
              <w:rPr>
                <w:rFonts w:eastAsia="Times New Roman" w:cs="Arial"/>
                <w:sz w:val="20"/>
                <w:szCs w:val="20"/>
              </w:rPr>
              <w:t>• Active treatment for a major medical illness, such as malignancy, autoimmune, immune deficiency disorder, etc.</w:t>
            </w:r>
            <w:r w:rsidRPr="000F78A1">
              <w:rPr>
                <w:rFonts w:eastAsia="Times New Roman" w:cs="Arial"/>
                <w:sz w:val="20"/>
                <w:szCs w:val="20"/>
              </w:rPr>
              <w:br/>
              <w:t>• History of head/neck surgery within the past 3 years</w:t>
            </w:r>
            <w:r w:rsidRPr="000F78A1">
              <w:rPr>
                <w:rFonts w:eastAsia="Times New Roman" w:cs="Arial"/>
                <w:sz w:val="20"/>
                <w:szCs w:val="20"/>
              </w:rPr>
              <w:br/>
              <w:t>• History of subarachnoid or intra-cerebral hemorrhage or subdural hematoma</w:t>
            </w:r>
            <w:r w:rsidRPr="000F78A1">
              <w:rPr>
                <w:rFonts w:eastAsia="Times New Roman" w:cs="Arial"/>
                <w:sz w:val="20"/>
                <w:szCs w:val="20"/>
              </w:rPr>
              <w:br/>
              <w:t>• History of nervous system infection such as meningitis or encephalitis within the preceding 5 years</w:t>
            </w:r>
            <w:r w:rsidRPr="000F78A1">
              <w:rPr>
                <w:rFonts w:eastAsia="Times New Roman" w:cs="Arial"/>
                <w:sz w:val="20"/>
                <w:szCs w:val="20"/>
              </w:rPr>
              <w:br/>
              <w:t>• History of vasculitis, intracranial mass, clotting disorder</w:t>
            </w:r>
            <w:r w:rsidRPr="000F78A1">
              <w:rPr>
                <w:rFonts w:eastAsia="Times New Roman" w:cs="Arial"/>
                <w:sz w:val="20"/>
                <w:szCs w:val="20"/>
              </w:rPr>
              <w:br/>
              <w:t>• Cognitive dysfunction that would prevent informed consent</w:t>
            </w:r>
          </w:p>
          <w:p w:rsidR="00BA15AE" w:rsidRPr="000F78A1" w:rsidRDefault="00BA15AE" w:rsidP="00FA11DF">
            <w:pPr>
              <w:pStyle w:val="ListParagraph"/>
              <w:rPr>
                <w:rFonts w:asciiTheme="minorHAnsi" w:eastAsia="Times New Roman" w:hAnsiTheme="minorHAnsi" w:cs="Arial"/>
                <w:sz w:val="20"/>
                <w:szCs w:val="20"/>
              </w:rPr>
            </w:pPr>
          </w:p>
          <w:p w:rsidR="00BA15AE" w:rsidRPr="000F78A1" w:rsidRDefault="00BA15AE" w:rsidP="00FA11DF">
            <w:pPr>
              <w:rPr>
                <w:rFonts w:eastAsia="Times New Roman" w:cs="Arial"/>
                <w:sz w:val="20"/>
                <w:szCs w:val="20"/>
              </w:rPr>
            </w:pPr>
          </w:p>
          <w:p w:rsidR="00BA15AE" w:rsidRPr="000F78A1" w:rsidRDefault="00BA15AE" w:rsidP="00FA11DF">
            <w:pPr>
              <w:rPr>
                <w:rFonts w:eastAsia="Times New Roman" w:cs="Arial"/>
                <w:sz w:val="20"/>
                <w:szCs w:val="20"/>
              </w:rPr>
            </w:pPr>
          </w:p>
          <w:p w:rsidR="00BA15AE" w:rsidRPr="000F78A1" w:rsidRDefault="00BA15AE" w:rsidP="00FA11DF">
            <w:pPr>
              <w:pStyle w:val="ListParagraph"/>
              <w:ind w:left="860"/>
              <w:rPr>
                <w:rFonts w:asciiTheme="minorHAnsi" w:eastAsia="Times New Roman" w:hAnsiTheme="minorHAnsi" w:cs="Arial"/>
                <w:sz w:val="20"/>
                <w:szCs w:val="20"/>
              </w:rPr>
            </w:pPr>
            <w:r w:rsidRPr="000F78A1">
              <w:rPr>
                <w:rFonts w:asciiTheme="minorHAnsi" w:eastAsia="Times New Roman" w:hAnsiTheme="minorHAnsi" w:cs="Arial"/>
                <w:sz w:val="20"/>
                <w:szCs w:val="20"/>
              </w:rPr>
              <w:t xml:space="preserve"> </w:t>
            </w:r>
          </w:p>
          <w:p w:rsidR="00BA15AE" w:rsidRPr="000F78A1" w:rsidRDefault="00BA15AE" w:rsidP="00FA11DF">
            <w:pPr>
              <w:rPr>
                <w:rFonts w:eastAsia="Times New Roman" w:cs="Arial"/>
                <w:sz w:val="20"/>
                <w:szCs w:val="20"/>
              </w:rPr>
            </w:pPr>
          </w:p>
        </w:tc>
      </w:tr>
    </w:tbl>
    <w:p w:rsidR="00BA15AE" w:rsidRPr="000F78A1" w:rsidRDefault="00BA15AE">
      <w:pPr>
        <w:rPr>
          <w:rFonts w:asciiTheme="majorHAnsi" w:hAnsiTheme="majorHAnsi"/>
          <w:sz w:val="24"/>
          <w:szCs w:val="24"/>
        </w:rPr>
      </w:pPr>
      <w:r w:rsidRPr="000F78A1">
        <w:rPr>
          <w:rFonts w:asciiTheme="majorHAnsi" w:hAnsiTheme="majorHAnsi"/>
          <w:sz w:val="24"/>
          <w:szCs w:val="24"/>
        </w:rPr>
        <w:t xml:space="preserve"> In this small, exploratory study, individuals were randomized to receive either the investigational drug or a placebo in addition to usual care for their headaches for 12 weeks.  </w:t>
      </w:r>
      <w:r w:rsidR="00291224">
        <w:rPr>
          <w:rFonts w:asciiTheme="majorHAnsi" w:hAnsiTheme="majorHAnsi"/>
          <w:sz w:val="24"/>
          <w:szCs w:val="24"/>
        </w:rPr>
        <w:t>They were also randomized to receive a standard preventative therapy (Topiramate)</w:t>
      </w:r>
      <w:r w:rsidR="00F90F59">
        <w:rPr>
          <w:rFonts w:asciiTheme="majorHAnsi" w:hAnsiTheme="majorHAnsi"/>
          <w:sz w:val="24"/>
          <w:szCs w:val="24"/>
        </w:rPr>
        <w:t xml:space="preserve"> vs. placebo</w:t>
      </w:r>
      <w:r w:rsidR="00291224">
        <w:rPr>
          <w:rFonts w:asciiTheme="majorHAnsi" w:hAnsiTheme="majorHAnsi"/>
          <w:sz w:val="24"/>
          <w:szCs w:val="24"/>
        </w:rPr>
        <w:t>.</w:t>
      </w:r>
      <w:r w:rsidR="00F90F59">
        <w:rPr>
          <w:rFonts w:asciiTheme="majorHAnsi" w:hAnsiTheme="majorHAnsi"/>
          <w:sz w:val="24"/>
          <w:szCs w:val="24"/>
        </w:rPr>
        <w:t xml:space="preserve"> </w:t>
      </w:r>
      <w:r w:rsidR="00291224">
        <w:rPr>
          <w:rFonts w:asciiTheme="majorHAnsi" w:hAnsiTheme="majorHAnsi"/>
          <w:sz w:val="24"/>
          <w:szCs w:val="24"/>
        </w:rPr>
        <w:t xml:space="preserve"> </w:t>
      </w:r>
      <w:r w:rsidRPr="000F78A1">
        <w:rPr>
          <w:rFonts w:asciiTheme="majorHAnsi" w:hAnsiTheme="majorHAnsi"/>
          <w:sz w:val="24"/>
          <w:szCs w:val="24"/>
        </w:rPr>
        <w:t>They were asked to avoid making any other changes in their therapy, except as recommended by their physicians.  Data collected before and after the trial (Week 0 and Week 12) included:</w:t>
      </w:r>
    </w:p>
    <w:p w:rsidR="00BA15AE" w:rsidRPr="000F78A1" w:rsidRDefault="00BA15AE" w:rsidP="00BA15AE">
      <w:pPr>
        <w:pStyle w:val="ListParagraph"/>
        <w:numPr>
          <w:ilvl w:val="0"/>
          <w:numId w:val="2"/>
        </w:numPr>
        <w:rPr>
          <w:rFonts w:asciiTheme="majorHAnsi" w:hAnsiTheme="majorHAnsi"/>
        </w:rPr>
      </w:pPr>
      <w:r w:rsidRPr="000F78A1">
        <w:rPr>
          <w:rFonts w:asciiTheme="majorHAnsi" w:hAnsiTheme="majorHAnsi"/>
        </w:rPr>
        <w:t>The number of headaches in the past 4 weeks</w:t>
      </w:r>
    </w:p>
    <w:p w:rsidR="00BA15AE" w:rsidRPr="000F78A1" w:rsidRDefault="00BA15AE" w:rsidP="00BA15AE">
      <w:pPr>
        <w:pStyle w:val="ListParagraph"/>
        <w:numPr>
          <w:ilvl w:val="0"/>
          <w:numId w:val="2"/>
        </w:numPr>
        <w:rPr>
          <w:rFonts w:asciiTheme="majorHAnsi" w:hAnsiTheme="majorHAnsi"/>
        </w:rPr>
      </w:pPr>
      <w:r w:rsidRPr="000F78A1">
        <w:rPr>
          <w:rFonts w:asciiTheme="majorHAnsi" w:hAnsiTheme="majorHAnsi"/>
        </w:rPr>
        <w:t>The average severity of headaches in the past 4 weeks</w:t>
      </w:r>
    </w:p>
    <w:p w:rsidR="00BA15AE" w:rsidRPr="000F78A1" w:rsidRDefault="00BA15AE" w:rsidP="00BA15AE">
      <w:pPr>
        <w:pStyle w:val="ListParagraph"/>
        <w:numPr>
          <w:ilvl w:val="0"/>
          <w:numId w:val="2"/>
        </w:numPr>
        <w:rPr>
          <w:rFonts w:asciiTheme="majorHAnsi" w:hAnsiTheme="majorHAnsi"/>
        </w:rPr>
      </w:pPr>
      <w:r w:rsidRPr="000F78A1">
        <w:rPr>
          <w:rFonts w:asciiTheme="majorHAnsi" w:hAnsiTheme="majorHAnsi"/>
        </w:rPr>
        <w:t>The Headache Impact Test</w:t>
      </w:r>
      <w:r w:rsidR="0015060A" w:rsidRPr="000F78A1">
        <w:rPr>
          <w:rFonts w:asciiTheme="majorHAnsi" w:hAnsiTheme="majorHAnsi"/>
        </w:rPr>
        <w:t xml:space="preserve"> (HIT-6)</w:t>
      </w:r>
      <w:r w:rsidRPr="000F78A1">
        <w:rPr>
          <w:rFonts w:asciiTheme="majorHAnsi" w:hAnsiTheme="majorHAnsi"/>
        </w:rPr>
        <w:t>—a validated headache-specific quality-of-life measure</w:t>
      </w:r>
      <w:r w:rsidR="00CA4B1B" w:rsidRPr="000F78A1">
        <w:rPr>
          <w:rFonts w:asciiTheme="majorHAnsi" w:hAnsiTheme="majorHAnsi"/>
        </w:rPr>
        <w:t>.</w:t>
      </w:r>
    </w:p>
    <w:p w:rsidR="00CA4B1B" w:rsidRPr="000F78A1" w:rsidRDefault="00CA4B1B" w:rsidP="00CA4B1B">
      <w:pPr>
        <w:rPr>
          <w:rFonts w:asciiTheme="majorHAnsi" w:hAnsiTheme="majorHAnsi"/>
          <w:sz w:val="24"/>
          <w:szCs w:val="24"/>
        </w:rPr>
      </w:pPr>
      <w:r w:rsidRPr="000F78A1">
        <w:rPr>
          <w:rFonts w:asciiTheme="majorHAnsi" w:hAnsiTheme="majorHAnsi"/>
          <w:sz w:val="24"/>
          <w:szCs w:val="24"/>
        </w:rPr>
        <w:t>Demographic data (age, sex, race) was collected at baseline.</w:t>
      </w:r>
    </w:p>
    <w:p w:rsidR="00CA4B1B" w:rsidRPr="000F78A1" w:rsidRDefault="00CA4B1B" w:rsidP="00CA4B1B">
      <w:pPr>
        <w:rPr>
          <w:rFonts w:asciiTheme="majorHAnsi" w:hAnsiTheme="majorHAnsi"/>
          <w:sz w:val="24"/>
          <w:szCs w:val="24"/>
        </w:rPr>
      </w:pPr>
      <w:r w:rsidRPr="000F78A1">
        <w:rPr>
          <w:rFonts w:asciiTheme="majorHAnsi" w:hAnsiTheme="majorHAnsi"/>
          <w:sz w:val="24"/>
          <w:szCs w:val="24"/>
        </w:rPr>
        <w:t xml:space="preserve">Your task is to </w:t>
      </w:r>
      <w:r w:rsidR="00F90F59">
        <w:rPr>
          <w:rFonts w:asciiTheme="majorHAnsi" w:hAnsiTheme="majorHAnsi"/>
          <w:sz w:val="24"/>
          <w:szCs w:val="24"/>
        </w:rPr>
        <w:t xml:space="preserve">examine the dataset for distributions and missing data and to </w:t>
      </w:r>
      <w:r w:rsidR="0015060A" w:rsidRPr="000F78A1">
        <w:rPr>
          <w:rFonts w:asciiTheme="majorHAnsi" w:hAnsiTheme="majorHAnsi"/>
          <w:sz w:val="24"/>
          <w:szCs w:val="24"/>
        </w:rPr>
        <w:t xml:space="preserve">answer the following </w:t>
      </w:r>
      <w:r w:rsidR="00F90F59">
        <w:rPr>
          <w:rFonts w:asciiTheme="majorHAnsi" w:hAnsiTheme="majorHAnsi"/>
          <w:sz w:val="24"/>
          <w:szCs w:val="24"/>
        </w:rPr>
        <w:t>questions, based on the</w:t>
      </w:r>
      <w:r w:rsidRPr="000F78A1">
        <w:rPr>
          <w:rFonts w:asciiTheme="majorHAnsi" w:hAnsiTheme="majorHAnsi"/>
          <w:sz w:val="24"/>
          <w:szCs w:val="24"/>
        </w:rPr>
        <w:t xml:space="preserve"> data:</w:t>
      </w:r>
    </w:p>
    <w:p w:rsidR="00CA4B1B" w:rsidRDefault="00CA4B1B" w:rsidP="00CA4B1B">
      <w:pPr>
        <w:pStyle w:val="ListParagraph"/>
        <w:numPr>
          <w:ilvl w:val="0"/>
          <w:numId w:val="3"/>
        </w:numPr>
      </w:pPr>
      <w:r w:rsidRPr="000F78A1">
        <w:lastRenderedPageBreak/>
        <w:t>Large amounts of missing data in a clinical trial can have a marked effect on the results.  How might missing data in this dataset impact the results?  Are people with missing data markedly different from people without missing data?</w:t>
      </w:r>
    </w:p>
    <w:p w:rsidR="000B05FC" w:rsidRDefault="000B05FC" w:rsidP="000B05FC">
      <w:pPr>
        <w:pStyle w:val="ListParagraph"/>
      </w:pPr>
    </w:p>
    <w:p w:rsidR="00B1092D" w:rsidRDefault="00B1092D" w:rsidP="00B1092D">
      <w:pPr>
        <w:pStyle w:val="ListParagraph"/>
      </w:pPr>
      <w:r>
        <w:t>Six people were missing data for headache severity at the end of the trial (missing coded as 99) and four were missing data for headache frequency</w:t>
      </w:r>
      <w:r w:rsidR="000B05FC">
        <w:t xml:space="preserve"> with a total of 8 with missing data</w:t>
      </w:r>
      <w:r>
        <w:t xml:space="preserve">.  We recode those variables to missing and then create a missing variable indicator: </w:t>
      </w:r>
    </w:p>
    <w:p w:rsidR="00B1092D" w:rsidRDefault="00B1092D"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Data</w:t>
      </w:r>
      <w:r>
        <w:rPr>
          <w:rFonts w:ascii="Courier New" w:hAnsi="Courier New" w:cs="Courier New"/>
          <w:b/>
          <w:bCs/>
          <w:color w:val="000000"/>
          <w:sz w:val="24"/>
          <w:szCs w:val="24"/>
          <w:shd w:val="clear" w:color="auto" w:fill="FFFFFF"/>
        </w:rPr>
        <w:t xml:space="preserve"> dpet831b.extwo;</w:t>
      </w:r>
    </w:p>
    <w:p w:rsidR="00B1092D" w:rsidRDefault="00B1092D" w:rsidP="00B1092D">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set</w:t>
      </w:r>
      <w:r>
        <w:rPr>
          <w:rFonts w:ascii="Courier New" w:hAnsi="Courier New" w:cs="Courier New"/>
          <w:b/>
          <w:bCs/>
          <w:color w:val="000000"/>
          <w:sz w:val="24"/>
          <w:szCs w:val="24"/>
          <w:shd w:val="clear" w:color="auto" w:fill="FFFFFF"/>
        </w:rPr>
        <w:t xml:space="preserve"> dpet831b.extwo;</w:t>
      </w:r>
    </w:p>
    <w:p w:rsidR="00B1092D" w:rsidRDefault="00B1092D" w:rsidP="00B1092D">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hasevpst</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99</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hasevpsta</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w:t>
      </w:r>
      <w:r>
        <w:rPr>
          <w:rFonts w:ascii="Courier New" w:hAnsi="Courier New" w:cs="Courier New"/>
          <w:b/>
          <w:bCs/>
          <w:color w:val="000000"/>
          <w:sz w:val="24"/>
          <w:szCs w:val="24"/>
          <w:shd w:val="clear" w:color="auto" w:fill="FFFFFF"/>
        </w:rPr>
        <w:t>;</w:t>
      </w:r>
    </w:p>
    <w:p w:rsidR="00B1092D" w:rsidRDefault="00B1092D" w:rsidP="00B1092D">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hasevpsta</w:t>
      </w:r>
      <w:proofErr w:type="spellEnd"/>
      <w:r>
        <w:rPr>
          <w:rFonts w:ascii="Courier New" w:hAnsi="Courier New" w:cs="Courier New"/>
          <w:b/>
          <w:bCs/>
          <w:color w:val="000000"/>
          <w:sz w:val="24"/>
          <w:szCs w:val="24"/>
          <w:shd w:val="clear" w:color="auto" w:fill="FFFFFF"/>
        </w:rPr>
        <w:t>=</w:t>
      </w:r>
      <w:proofErr w:type="spellStart"/>
      <w:r>
        <w:rPr>
          <w:rFonts w:ascii="Courier New" w:hAnsi="Courier New" w:cs="Courier New"/>
          <w:b/>
          <w:bCs/>
          <w:color w:val="000000"/>
          <w:sz w:val="24"/>
          <w:szCs w:val="24"/>
          <w:shd w:val="clear" w:color="auto" w:fill="FFFFFF"/>
        </w:rPr>
        <w:t>hasevpst</w:t>
      </w:r>
      <w:proofErr w:type="spellEnd"/>
      <w:r>
        <w:rPr>
          <w:rFonts w:ascii="Courier New" w:hAnsi="Courier New" w:cs="Courier New"/>
          <w:b/>
          <w:bCs/>
          <w:color w:val="000000"/>
          <w:sz w:val="24"/>
          <w:szCs w:val="24"/>
          <w:shd w:val="clear" w:color="auto" w:fill="FFFFFF"/>
        </w:rPr>
        <w:t>;</w:t>
      </w:r>
    </w:p>
    <w:p w:rsidR="00B1092D" w:rsidRDefault="00B1092D"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hafrqpst</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99</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hafrqpsta</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w:t>
      </w:r>
      <w:r>
        <w:rPr>
          <w:rFonts w:ascii="Courier New" w:hAnsi="Courier New" w:cs="Courier New"/>
          <w:b/>
          <w:bCs/>
          <w:color w:val="000000"/>
          <w:sz w:val="24"/>
          <w:szCs w:val="24"/>
          <w:shd w:val="clear" w:color="auto" w:fill="FFFFFF"/>
        </w:rPr>
        <w:t>;</w:t>
      </w:r>
    </w:p>
    <w:p w:rsidR="00B1092D" w:rsidRDefault="00B1092D" w:rsidP="00B1092D">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hafrqpsta</w:t>
      </w:r>
      <w:proofErr w:type="spellEnd"/>
      <w:r>
        <w:rPr>
          <w:rFonts w:ascii="Courier New" w:hAnsi="Courier New" w:cs="Courier New"/>
          <w:b/>
          <w:bCs/>
          <w:color w:val="000000"/>
          <w:sz w:val="24"/>
          <w:szCs w:val="24"/>
          <w:shd w:val="clear" w:color="auto" w:fill="FFFFFF"/>
        </w:rPr>
        <w:t>=</w:t>
      </w:r>
      <w:proofErr w:type="spellStart"/>
      <w:r>
        <w:rPr>
          <w:rFonts w:ascii="Courier New" w:hAnsi="Courier New" w:cs="Courier New"/>
          <w:b/>
          <w:bCs/>
          <w:color w:val="000000"/>
          <w:sz w:val="24"/>
          <w:szCs w:val="24"/>
          <w:shd w:val="clear" w:color="auto" w:fill="FFFFFF"/>
        </w:rPr>
        <w:t>hafrqpst</w:t>
      </w:r>
      <w:proofErr w:type="spellEnd"/>
      <w:r>
        <w:rPr>
          <w:rFonts w:ascii="Courier New" w:hAnsi="Courier New" w:cs="Courier New"/>
          <w:b/>
          <w:bCs/>
          <w:color w:val="000000"/>
          <w:sz w:val="24"/>
          <w:szCs w:val="24"/>
          <w:shd w:val="clear" w:color="auto" w:fill="FFFFFF"/>
        </w:rPr>
        <w:t>;</w:t>
      </w:r>
    </w:p>
    <w:p w:rsidR="00B1092D" w:rsidRDefault="00B1092D"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hasevpst</w:t>
      </w:r>
      <w:proofErr w:type="spellEnd"/>
      <w:r>
        <w:rPr>
          <w:rFonts w:ascii="Courier New" w:hAnsi="Courier New" w:cs="Courier New"/>
          <w:b/>
          <w:bCs/>
          <w:color w:val="000000"/>
          <w:sz w:val="24"/>
          <w:szCs w:val="24"/>
          <w:shd w:val="clear" w:color="auto" w:fill="FFFFFF"/>
        </w:rPr>
        <w:t xml:space="preserve"> =</w:t>
      </w:r>
      <w:r>
        <w:rPr>
          <w:rFonts w:ascii="Courier New" w:hAnsi="Courier New" w:cs="Courier New"/>
          <w:b/>
          <w:bCs/>
          <w:color w:val="008080"/>
          <w:sz w:val="24"/>
          <w:szCs w:val="24"/>
          <w:shd w:val="clear" w:color="auto" w:fill="FFFFFF"/>
        </w:rPr>
        <w:t>99</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w:t>
      </w:r>
    </w:p>
    <w:p w:rsidR="00B1092D" w:rsidRDefault="00B1092D" w:rsidP="00B1092D">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hafrqpst</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99</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w:t>
      </w:r>
    </w:p>
    <w:p w:rsidR="00B1092D" w:rsidRDefault="00B1092D"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0</w:t>
      </w:r>
      <w:r>
        <w:rPr>
          <w:rFonts w:ascii="Courier New" w:hAnsi="Courier New" w:cs="Courier New"/>
          <w:b/>
          <w:bCs/>
          <w:color w:val="000000"/>
          <w:sz w:val="24"/>
          <w:szCs w:val="24"/>
          <w:shd w:val="clear" w:color="auto" w:fill="FFFFFF"/>
        </w:rPr>
        <w:t>;</w:t>
      </w:r>
    </w:p>
    <w:p w:rsidR="00B1092D" w:rsidRDefault="00B1092D" w:rsidP="00B1092D">
      <w:pPr>
        <w:pStyle w:val="ListParagraph"/>
        <w:rPr>
          <w:rFonts w:ascii="Courier New" w:hAnsi="Courier New" w:cs="Courier New"/>
          <w:b/>
          <w:bCs/>
          <w:color w:val="000000"/>
          <w:shd w:val="clear" w:color="auto" w:fill="FFFFFF"/>
        </w:rPr>
      </w:pPr>
      <w:r>
        <w:rPr>
          <w:rFonts w:ascii="Courier New" w:hAnsi="Courier New" w:cs="Courier New"/>
          <w:b/>
          <w:bCs/>
          <w:color w:val="000000"/>
          <w:shd w:val="clear" w:color="auto" w:fill="FFFFFF"/>
        </w:rPr>
        <w:tab/>
      </w:r>
      <w:r>
        <w:rPr>
          <w:rFonts w:ascii="Courier New" w:hAnsi="Courier New" w:cs="Courier New"/>
          <w:b/>
          <w:bCs/>
          <w:color w:val="000080"/>
          <w:shd w:val="clear" w:color="auto" w:fill="FFFFFF"/>
        </w:rPr>
        <w:t>run</w:t>
      </w:r>
      <w:r>
        <w:rPr>
          <w:rFonts w:ascii="Courier New" w:hAnsi="Courier New" w:cs="Courier New"/>
          <w:b/>
          <w:bCs/>
          <w:color w:val="000000"/>
          <w:shd w:val="clear" w:color="auto" w:fill="FFFFFF"/>
        </w:rPr>
        <w:t>;</w:t>
      </w:r>
    </w:p>
    <w:p w:rsidR="000B05FC" w:rsidRDefault="000B05FC" w:rsidP="00B1092D">
      <w:pPr>
        <w:pStyle w:val="ListParagraph"/>
        <w:rPr>
          <w:rFonts w:ascii="Courier New" w:hAnsi="Courier New" w:cs="Courier New"/>
          <w:b/>
          <w:bCs/>
          <w:color w:val="000000"/>
          <w:shd w:val="clear" w:color="auto" w:fill="FFFFFF"/>
        </w:rPr>
      </w:pP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freq</w:t>
      </w:r>
      <w:proofErr w:type="spellEnd"/>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data</w:t>
      </w:r>
      <w:r>
        <w:rPr>
          <w:rFonts w:ascii="Courier New" w:hAnsi="Courier New" w:cs="Courier New"/>
          <w:b/>
          <w:bCs/>
          <w:color w:val="000000"/>
          <w:sz w:val="24"/>
          <w:szCs w:val="24"/>
          <w:shd w:val="clear" w:color="auto" w:fill="FFFFFF"/>
        </w:rPr>
        <w:t xml:space="preserve"> = dpet831b.extwo;</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*male;</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proofErr w:type="spellStart"/>
      <w:r>
        <w:rPr>
          <w:rFonts w:ascii="Courier New" w:hAnsi="Courier New" w:cs="Courier New"/>
          <w:b/>
          <w:bCs/>
          <w:color w:val="000000"/>
          <w:sz w:val="24"/>
          <w:szCs w:val="24"/>
          <w:shd w:val="clear" w:color="auto" w:fill="FFFFFF"/>
        </w:rPr>
        <w:t>newrx</w:t>
      </w:r>
      <w:proofErr w:type="spellEnd"/>
      <w:r>
        <w:rPr>
          <w:rFonts w:ascii="Courier New" w:hAnsi="Courier New" w:cs="Courier New"/>
          <w:b/>
          <w:bCs/>
          <w:color w:val="000000"/>
          <w:sz w:val="24"/>
          <w:szCs w:val="24"/>
          <w:shd w:val="clear" w:color="auto" w:fill="FFFFFF"/>
        </w:rPr>
        <w:t>;</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proofErr w:type="spellStart"/>
      <w:r>
        <w:rPr>
          <w:rFonts w:ascii="Courier New" w:hAnsi="Courier New" w:cs="Courier New"/>
          <w:b/>
          <w:bCs/>
          <w:color w:val="000000"/>
          <w:sz w:val="24"/>
          <w:szCs w:val="24"/>
          <w:shd w:val="clear" w:color="auto" w:fill="FFFFFF"/>
        </w:rPr>
        <w:t>topir</w:t>
      </w:r>
      <w:proofErr w:type="spellEnd"/>
      <w:r>
        <w:rPr>
          <w:rFonts w:ascii="Courier New" w:hAnsi="Courier New" w:cs="Courier New"/>
          <w:b/>
          <w:bCs/>
          <w:color w:val="000000"/>
          <w:sz w:val="24"/>
          <w:szCs w:val="24"/>
          <w:shd w:val="clear" w:color="auto" w:fill="FFFFFF"/>
        </w:rPr>
        <w:t>;</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proofErr w:type="spellStart"/>
      <w:r>
        <w:rPr>
          <w:rFonts w:ascii="Courier New" w:hAnsi="Courier New" w:cs="Courier New"/>
          <w:b/>
          <w:bCs/>
          <w:color w:val="000000"/>
          <w:sz w:val="24"/>
          <w:szCs w:val="24"/>
          <w:shd w:val="clear" w:color="auto" w:fill="FFFFFF"/>
        </w:rPr>
        <w:t>raceth</w:t>
      </w:r>
      <w:proofErr w:type="spellEnd"/>
      <w:r>
        <w:rPr>
          <w:rFonts w:ascii="Courier New" w:hAnsi="Courier New" w:cs="Courier New"/>
          <w:b/>
          <w:bCs/>
          <w:color w:val="000000"/>
          <w:sz w:val="24"/>
          <w:szCs w:val="24"/>
          <w:shd w:val="clear" w:color="auto" w:fill="FFFFFF"/>
        </w:rPr>
        <w:t>;</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proofErr w:type="spellStart"/>
      <w:r>
        <w:rPr>
          <w:rFonts w:ascii="Courier New" w:hAnsi="Courier New" w:cs="Courier New"/>
          <w:b/>
          <w:bCs/>
          <w:color w:val="000000"/>
          <w:sz w:val="24"/>
          <w:szCs w:val="24"/>
          <w:shd w:val="clear" w:color="auto" w:fill="FFFFFF"/>
        </w:rPr>
        <w:t>hasevpre</w:t>
      </w:r>
      <w:proofErr w:type="spellEnd"/>
      <w:r>
        <w:rPr>
          <w:rFonts w:ascii="Courier New" w:hAnsi="Courier New" w:cs="Courier New"/>
          <w:b/>
          <w:bCs/>
          <w:color w:val="000000"/>
          <w:sz w:val="24"/>
          <w:szCs w:val="24"/>
          <w:shd w:val="clear" w:color="auto" w:fill="FFFFFF"/>
        </w:rPr>
        <w:t>;</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b/>
          <w:bCs/>
          <w:color w:val="000000"/>
          <w:sz w:val="24"/>
          <w:szCs w:val="24"/>
          <w:shd w:val="clear" w:color="auto" w:fill="FFFFFF"/>
        </w:rPr>
        <w:t>;</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80"/>
          <w:sz w:val="24"/>
          <w:szCs w:val="24"/>
          <w:shd w:val="clear" w:color="auto" w:fill="FFFFFF"/>
        </w:rPr>
        <w:t>means</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data</w:t>
      </w:r>
      <w:r>
        <w:rPr>
          <w:rFonts w:ascii="Courier New" w:hAnsi="Courier New" w:cs="Courier New"/>
          <w:b/>
          <w:bCs/>
          <w:color w:val="000000"/>
          <w:sz w:val="24"/>
          <w:szCs w:val="24"/>
          <w:shd w:val="clear" w:color="auto" w:fill="FFFFFF"/>
        </w:rPr>
        <w:t xml:space="preserve"> = dpet831b.extwo;</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class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mispst</w:t>
      </w:r>
      <w:proofErr w:type="spellEnd"/>
      <w:r>
        <w:rPr>
          <w:rFonts w:ascii="Courier New" w:hAnsi="Courier New" w:cs="Courier New"/>
          <w:b/>
          <w:bCs/>
          <w:color w:val="000000"/>
          <w:sz w:val="24"/>
          <w:szCs w:val="24"/>
          <w:shd w:val="clear" w:color="auto" w:fill="FFFFFF"/>
        </w:rPr>
        <w:t>;</w:t>
      </w:r>
    </w:p>
    <w:p w:rsidR="000B05FC" w:rsidRDefault="000B05FC" w:rsidP="000B05FC">
      <w:pPr>
        <w:autoSpaceDE w:val="0"/>
        <w:autoSpaceDN w:val="0"/>
        <w:adjustRightInd w:val="0"/>
        <w:spacing w:after="0" w:line="240" w:lineRule="auto"/>
        <w:ind w:firstLine="720"/>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var</w:t>
      </w:r>
      <w:r>
        <w:rPr>
          <w:rFonts w:ascii="Courier New" w:hAnsi="Courier New" w:cs="Courier New"/>
          <w:b/>
          <w:bCs/>
          <w:color w:val="000000"/>
          <w:sz w:val="24"/>
          <w:szCs w:val="24"/>
          <w:shd w:val="clear" w:color="auto" w:fill="FFFFFF"/>
        </w:rPr>
        <w:t xml:space="preserve"> age </w:t>
      </w:r>
      <w:proofErr w:type="spellStart"/>
      <w:r>
        <w:rPr>
          <w:rFonts w:ascii="Courier New" w:hAnsi="Courier New" w:cs="Courier New"/>
          <w:b/>
          <w:bCs/>
          <w:color w:val="000000"/>
          <w:sz w:val="24"/>
          <w:szCs w:val="24"/>
          <w:shd w:val="clear" w:color="auto" w:fill="FFFFFF"/>
        </w:rPr>
        <w:t>hafrqpre</w:t>
      </w:r>
      <w:proofErr w:type="spellEnd"/>
      <w:r>
        <w:rPr>
          <w:rFonts w:ascii="Courier New" w:hAnsi="Courier New" w:cs="Courier New"/>
          <w:b/>
          <w:bCs/>
          <w:color w:val="000000"/>
          <w:sz w:val="24"/>
          <w:szCs w:val="24"/>
          <w:shd w:val="clear" w:color="auto" w:fill="FFFFFF"/>
        </w:rPr>
        <w:t xml:space="preserve"> hit6pre;</w:t>
      </w:r>
    </w:p>
    <w:p w:rsidR="000B05FC" w:rsidRDefault="000B05FC" w:rsidP="000B05FC">
      <w:pPr>
        <w:pStyle w:val="ListParagraph"/>
        <w:rPr>
          <w:rFonts w:ascii="Courier New" w:hAnsi="Courier New" w:cs="Courier New"/>
          <w:b/>
          <w:bCs/>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b/>
          <w:bCs/>
          <w:color w:val="000000"/>
          <w:shd w:val="clear" w:color="auto" w:fill="FFFFFF"/>
        </w:rPr>
        <w:t>;</w:t>
      </w:r>
    </w:p>
    <w:p w:rsidR="000B05FC" w:rsidRDefault="000B05FC" w:rsidP="00B1092D">
      <w:pPr>
        <w:pStyle w:val="ListParagraph"/>
      </w:pPr>
      <w:r>
        <w:t xml:space="preserve">Then we can examine the distribution across the missing variable indicator.  People with missing data are a bit older (mean 38 vs. 36) and have a higher baseline HIT-6 (63.7 vs. 61.7).  In addition, they are less likely to be in the new drug group and more likely to be in the topiramate group.  </w:t>
      </w:r>
    </w:p>
    <w:p w:rsidR="00E26E28" w:rsidRDefault="00E26E28" w:rsidP="00B1092D">
      <w:pPr>
        <w:pStyle w:val="ListParagraph"/>
      </w:pPr>
    </w:p>
    <w:p w:rsidR="000B05FC" w:rsidRDefault="000B05FC" w:rsidP="00B1092D">
      <w:pPr>
        <w:pStyle w:val="ListParagraph"/>
      </w:pPr>
      <w:r>
        <w:t xml:space="preserve">If the variables with missing data were important in your analysis, you could use multiple imputation techniques to estimate the </w:t>
      </w:r>
      <w:r w:rsidR="00AD2C01">
        <w:t>results.  Multiple imputation uses the existing data to predict a range of possible values for the data that is missing.  Special techniques are applied to estimate the result, increasing the standard deviation for the outcome based on the additional variability associated with the imputation.  Multiple imputation relies on an assumption that the missing data is missing at random, that it can be predicted based on non</w:t>
      </w:r>
      <w:r w:rsidR="00261E68">
        <w:t>-</w:t>
      </w:r>
      <w:r w:rsidR="00AD2C01">
        <w:t>missing variables in the dataset.</w:t>
      </w:r>
    </w:p>
    <w:p w:rsidR="00E26E28" w:rsidRDefault="00E26E28" w:rsidP="00B1092D">
      <w:pPr>
        <w:pStyle w:val="ListParagraph"/>
      </w:pPr>
    </w:p>
    <w:p w:rsidR="00261E68" w:rsidRDefault="00261E68" w:rsidP="00B1092D">
      <w:pPr>
        <w:pStyle w:val="ListParagraph"/>
      </w:pPr>
      <w:r>
        <w:t xml:space="preserve">In </w:t>
      </w:r>
      <w:r w:rsidR="00E26E28">
        <w:t xml:space="preserve">a </w:t>
      </w:r>
      <w:r>
        <w:t xml:space="preserve">clinical </w:t>
      </w:r>
      <w:r w:rsidR="00E26E28">
        <w:t>trial, for an intention-to-treat analysis, some form of imputation is</w:t>
      </w:r>
      <w:r>
        <w:t xml:space="preserve"> always </w:t>
      </w:r>
      <w:r w:rsidR="00E26E28">
        <w:t>used—</w:t>
      </w:r>
      <w:r>
        <w:t>either</w:t>
      </w:r>
      <w:r w:rsidR="00E26E28">
        <w:t xml:space="preserve"> </w:t>
      </w:r>
      <w:r>
        <w:t xml:space="preserve">multiple imputation or single imputation (last value carried </w:t>
      </w:r>
      <w:r>
        <w:lastRenderedPageBreak/>
        <w:t>forward</w:t>
      </w:r>
      <w:r w:rsidR="00E26E28">
        <w:t>)</w:t>
      </w:r>
      <w:r>
        <w:t>.  Both methods require some untestable assumptions.</w:t>
      </w:r>
      <w:r w:rsidR="00E26E28">
        <w:t xml:space="preserve">  Multiple imputation results in preserved effect size estimates at the expense of increased variance and single imputations reduced effect size estimates (closer to the null), but with variances that are probably too small.</w:t>
      </w:r>
    </w:p>
    <w:p w:rsidR="000B05FC" w:rsidRPr="000F78A1" w:rsidRDefault="000B05FC" w:rsidP="00B1092D">
      <w:pPr>
        <w:pStyle w:val="ListParagraph"/>
      </w:pPr>
    </w:p>
    <w:p w:rsidR="00CA4B1B" w:rsidRDefault="00CA4B1B" w:rsidP="00CA4B1B">
      <w:pPr>
        <w:pStyle w:val="ListParagraph"/>
        <w:numPr>
          <w:ilvl w:val="0"/>
          <w:numId w:val="3"/>
        </w:numPr>
      </w:pPr>
      <w:r w:rsidRPr="000F78A1">
        <w:t>Even when randomized, a small trial can result in marked imbalances in baseline characteristics across levels of the exposure variable.  Are there any imbalances</w:t>
      </w:r>
      <w:r w:rsidR="00F90F59">
        <w:t xml:space="preserve"> across the new preventative medication or topiramate</w:t>
      </w:r>
      <w:r w:rsidRPr="000F78A1">
        <w:t xml:space="preserve"> in the current trial?</w:t>
      </w:r>
    </w:p>
    <w:p w:rsidR="00E26E28" w:rsidRDefault="00E26E28" w:rsidP="00E26E28">
      <w:pPr>
        <w:pStyle w:val="ListParagraph"/>
      </w:pPr>
    </w:p>
    <w:p w:rsidR="00AD2C01" w:rsidRDefault="00AD2C01" w:rsidP="00AD2C01">
      <w:pPr>
        <w:pStyle w:val="ListParagraph"/>
      </w:pPr>
      <w:r>
        <w:t>Best to create a table for this one:</w:t>
      </w:r>
    </w:p>
    <w:p w:rsidR="00E26E28" w:rsidRDefault="00E26E28" w:rsidP="00AD2C01">
      <w:pPr>
        <w:pStyle w:val="ListParagraph"/>
      </w:pPr>
    </w:p>
    <w:p w:rsidR="00E26E28" w:rsidRPr="00E26E28" w:rsidRDefault="00E26E28" w:rsidP="00E26E28">
      <w:pPr>
        <w:spacing w:after="0" w:line="240" w:lineRule="auto"/>
        <w:rPr>
          <w:rFonts w:asciiTheme="majorHAnsi" w:hAnsiTheme="majorHAnsi"/>
          <w:b/>
        </w:rPr>
      </w:pPr>
      <w:r>
        <w:rPr>
          <w:rFonts w:asciiTheme="majorHAnsi" w:hAnsiTheme="majorHAnsi"/>
          <w:b/>
        </w:rPr>
        <w:t>Table 1.  D</w:t>
      </w:r>
      <w:r w:rsidRPr="00E26E28">
        <w:rPr>
          <w:rFonts w:asciiTheme="majorHAnsi" w:hAnsiTheme="majorHAnsi"/>
          <w:b/>
        </w:rPr>
        <w:t>istribution of baseline characteristics</w:t>
      </w:r>
    </w:p>
    <w:tbl>
      <w:tblPr>
        <w:tblStyle w:val="TableGrid"/>
        <w:tblW w:w="0" w:type="auto"/>
        <w:tblInd w:w="18" w:type="dxa"/>
        <w:tblLook w:val="04A0" w:firstRow="1" w:lastRow="0" w:firstColumn="1" w:lastColumn="0" w:noHBand="0" w:noVBand="1"/>
      </w:tblPr>
      <w:tblGrid>
        <w:gridCol w:w="3150"/>
        <w:gridCol w:w="1710"/>
        <w:gridCol w:w="1710"/>
        <w:gridCol w:w="1440"/>
        <w:gridCol w:w="1548"/>
      </w:tblGrid>
      <w:tr w:rsidR="00AD2C01" w:rsidTr="00256521">
        <w:tc>
          <w:tcPr>
            <w:tcW w:w="3150" w:type="dxa"/>
          </w:tcPr>
          <w:p w:rsidR="00AD2C01" w:rsidRDefault="00AD2C01" w:rsidP="00AD2C01">
            <w:pPr>
              <w:pStyle w:val="ListParagraph"/>
              <w:ind w:left="0"/>
            </w:pPr>
            <w:r>
              <w:t>Variable</w:t>
            </w:r>
          </w:p>
        </w:tc>
        <w:tc>
          <w:tcPr>
            <w:tcW w:w="1710" w:type="dxa"/>
          </w:tcPr>
          <w:p w:rsidR="00AD2C01" w:rsidRDefault="00AD2C01" w:rsidP="007F3040">
            <w:pPr>
              <w:pStyle w:val="ListParagraph"/>
              <w:ind w:left="0"/>
              <w:jc w:val="center"/>
            </w:pPr>
            <w:r>
              <w:t>New drug</w:t>
            </w:r>
          </w:p>
        </w:tc>
        <w:tc>
          <w:tcPr>
            <w:tcW w:w="1710" w:type="dxa"/>
          </w:tcPr>
          <w:p w:rsidR="00AD2C01" w:rsidRDefault="00AD2C01" w:rsidP="007F3040">
            <w:pPr>
              <w:pStyle w:val="ListParagraph"/>
              <w:ind w:left="0"/>
              <w:jc w:val="center"/>
            </w:pPr>
            <w:r>
              <w:t>Not on new drug</w:t>
            </w:r>
          </w:p>
        </w:tc>
        <w:tc>
          <w:tcPr>
            <w:tcW w:w="1440" w:type="dxa"/>
          </w:tcPr>
          <w:p w:rsidR="00AD2C01" w:rsidRDefault="00AD2C01" w:rsidP="007F3040">
            <w:pPr>
              <w:pStyle w:val="ListParagraph"/>
              <w:ind w:left="0"/>
              <w:jc w:val="center"/>
            </w:pPr>
            <w:r>
              <w:t>Topiramate</w:t>
            </w:r>
          </w:p>
        </w:tc>
        <w:tc>
          <w:tcPr>
            <w:tcW w:w="1548" w:type="dxa"/>
          </w:tcPr>
          <w:p w:rsidR="00AD2C01" w:rsidRDefault="00AD2C01" w:rsidP="007F3040">
            <w:pPr>
              <w:pStyle w:val="ListParagraph"/>
              <w:ind w:left="0"/>
              <w:jc w:val="center"/>
            </w:pPr>
            <w:r>
              <w:t>No Topiramate</w:t>
            </w:r>
          </w:p>
        </w:tc>
      </w:tr>
      <w:tr w:rsidR="00AD2C01" w:rsidTr="00256521">
        <w:tc>
          <w:tcPr>
            <w:tcW w:w="3150" w:type="dxa"/>
          </w:tcPr>
          <w:p w:rsidR="00AD2C01" w:rsidRDefault="00AD2C01" w:rsidP="00CE685C">
            <w:pPr>
              <w:pStyle w:val="ListParagraph"/>
              <w:ind w:left="0"/>
            </w:pPr>
            <w:r>
              <w:t>HA severity &gt;</w:t>
            </w:r>
            <w:r w:rsidR="00CE685C">
              <w:t>6</w:t>
            </w:r>
            <w:r>
              <w:t xml:space="preserve"> (%)</w:t>
            </w:r>
          </w:p>
        </w:tc>
        <w:tc>
          <w:tcPr>
            <w:tcW w:w="1710" w:type="dxa"/>
          </w:tcPr>
          <w:p w:rsidR="00AD2C01" w:rsidRDefault="00CE685C" w:rsidP="007F3040">
            <w:pPr>
              <w:pStyle w:val="ListParagraph"/>
              <w:ind w:left="0"/>
              <w:jc w:val="center"/>
            </w:pPr>
            <w:r>
              <w:t>16</w:t>
            </w:r>
          </w:p>
        </w:tc>
        <w:tc>
          <w:tcPr>
            <w:tcW w:w="1710" w:type="dxa"/>
          </w:tcPr>
          <w:p w:rsidR="00AD2C01" w:rsidRDefault="00CE685C" w:rsidP="007F3040">
            <w:pPr>
              <w:pStyle w:val="ListParagraph"/>
              <w:ind w:left="0"/>
              <w:jc w:val="center"/>
            </w:pPr>
            <w:r>
              <w:t>20</w:t>
            </w:r>
          </w:p>
        </w:tc>
        <w:tc>
          <w:tcPr>
            <w:tcW w:w="1440" w:type="dxa"/>
          </w:tcPr>
          <w:p w:rsidR="00AD2C01" w:rsidRDefault="00CE685C" w:rsidP="007F3040">
            <w:pPr>
              <w:pStyle w:val="ListParagraph"/>
              <w:ind w:left="0"/>
              <w:jc w:val="center"/>
            </w:pPr>
            <w:r>
              <w:t>16</w:t>
            </w:r>
          </w:p>
        </w:tc>
        <w:tc>
          <w:tcPr>
            <w:tcW w:w="1548" w:type="dxa"/>
          </w:tcPr>
          <w:p w:rsidR="00AD2C01" w:rsidRDefault="00CE685C" w:rsidP="007F3040">
            <w:pPr>
              <w:pStyle w:val="ListParagraph"/>
              <w:ind w:left="0"/>
              <w:jc w:val="center"/>
            </w:pPr>
            <w:r>
              <w:t>20</w:t>
            </w:r>
          </w:p>
        </w:tc>
      </w:tr>
      <w:tr w:rsidR="00AD2C01" w:rsidTr="00256521">
        <w:tc>
          <w:tcPr>
            <w:tcW w:w="3150" w:type="dxa"/>
          </w:tcPr>
          <w:p w:rsidR="00AD2C01" w:rsidRDefault="00AD2C01" w:rsidP="00AD2C01">
            <w:pPr>
              <w:pStyle w:val="ListParagraph"/>
              <w:ind w:left="0"/>
            </w:pPr>
            <w:r>
              <w:t>Male (%)</w:t>
            </w:r>
          </w:p>
        </w:tc>
        <w:tc>
          <w:tcPr>
            <w:tcW w:w="1710" w:type="dxa"/>
          </w:tcPr>
          <w:p w:rsidR="00AD2C01" w:rsidRDefault="00AD2C01" w:rsidP="007F3040">
            <w:pPr>
              <w:pStyle w:val="ListParagraph"/>
              <w:ind w:left="0"/>
              <w:jc w:val="center"/>
            </w:pPr>
            <w:r>
              <w:t>24</w:t>
            </w:r>
          </w:p>
        </w:tc>
        <w:tc>
          <w:tcPr>
            <w:tcW w:w="1710" w:type="dxa"/>
          </w:tcPr>
          <w:p w:rsidR="00AD2C01" w:rsidRDefault="007F3040" w:rsidP="007F3040">
            <w:pPr>
              <w:pStyle w:val="ListParagraph"/>
              <w:ind w:left="0"/>
              <w:jc w:val="center"/>
            </w:pPr>
            <w:r>
              <w:t>33</w:t>
            </w:r>
          </w:p>
        </w:tc>
        <w:tc>
          <w:tcPr>
            <w:tcW w:w="1440" w:type="dxa"/>
          </w:tcPr>
          <w:p w:rsidR="00AD2C01" w:rsidRDefault="007F3040" w:rsidP="007F3040">
            <w:pPr>
              <w:pStyle w:val="ListParagraph"/>
              <w:ind w:left="0"/>
              <w:jc w:val="center"/>
            </w:pPr>
            <w:r>
              <w:t>18</w:t>
            </w:r>
          </w:p>
        </w:tc>
        <w:tc>
          <w:tcPr>
            <w:tcW w:w="1548" w:type="dxa"/>
          </w:tcPr>
          <w:p w:rsidR="00AD2C01" w:rsidRDefault="007F3040" w:rsidP="007F3040">
            <w:pPr>
              <w:pStyle w:val="ListParagraph"/>
              <w:ind w:left="0"/>
              <w:jc w:val="center"/>
            </w:pPr>
            <w:r>
              <w:t>39</w:t>
            </w:r>
          </w:p>
        </w:tc>
      </w:tr>
      <w:tr w:rsidR="00AD2C01" w:rsidTr="00256521">
        <w:tc>
          <w:tcPr>
            <w:tcW w:w="3150" w:type="dxa"/>
          </w:tcPr>
          <w:p w:rsidR="00AD2C01" w:rsidRDefault="00AD2C01" w:rsidP="00AD2C01">
            <w:pPr>
              <w:pStyle w:val="ListParagraph"/>
              <w:ind w:left="0"/>
            </w:pPr>
            <w:r>
              <w:t>On topiramate (%)</w:t>
            </w:r>
          </w:p>
        </w:tc>
        <w:tc>
          <w:tcPr>
            <w:tcW w:w="1710" w:type="dxa"/>
          </w:tcPr>
          <w:p w:rsidR="00AD2C01" w:rsidRDefault="007F3040" w:rsidP="007F3040">
            <w:pPr>
              <w:pStyle w:val="ListParagraph"/>
              <w:ind w:left="0"/>
              <w:jc w:val="center"/>
            </w:pPr>
            <w:r>
              <w:t>44</w:t>
            </w:r>
          </w:p>
        </w:tc>
        <w:tc>
          <w:tcPr>
            <w:tcW w:w="1710" w:type="dxa"/>
          </w:tcPr>
          <w:p w:rsidR="00AD2C01" w:rsidRDefault="007F3040" w:rsidP="007F3040">
            <w:pPr>
              <w:pStyle w:val="ListParagraph"/>
              <w:ind w:left="0"/>
              <w:jc w:val="center"/>
            </w:pPr>
            <w:r>
              <w:t>53</w:t>
            </w:r>
          </w:p>
        </w:tc>
        <w:tc>
          <w:tcPr>
            <w:tcW w:w="1440" w:type="dxa"/>
          </w:tcPr>
          <w:p w:rsidR="00AD2C01" w:rsidRDefault="00AD2C01" w:rsidP="007F3040">
            <w:pPr>
              <w:pStyle w:val="ListParagraph"/>
              <w:ind w:left="0"/>
              <w:jc w:val="center"/>
            </w:pPr>
          </w:p>
        </w:tc>
        <w:tc>
          <w:tcPr>
            <w:tcW w:w="1548" w:type="dxa"/>
          </w:tcPr>
          <w:p w:rsidR="00AD2C01" w:rsidRDefault="00AD2C01" w:rsidP="007F3040">
            <w:pPr>
              <w:pStyle w:val="ListParagraph"/>
              <w:ind w:left="0"/>
              <w:jc w:val="center"/>
            </w:pPr>
          </w:p>
        </w:tc>
      </w:tr>
      <w:tr w:rsidR="007F3040" w:rsidTr="00256521">
        <w:tc>
          <w:tcPr>
            <w:tcW w:w="3150" w:type="dxa"/>
          </w:tcPr>
          <w:p w:rsidR="007F3040" w:rsidRDefault="007F3040" w:rsidP="00AD2C01">
            <w:pPr>
              <w:pStyle w:val="ListParagraph"/>
              <w:ind w:left="0"/>
            </w:pPr>
            <w:r>
              <w:t>On new drug</w:t>
            </w:r>
          </w:p>
        </w:tc>
        <w:tc>
          <w:tcPr>
            <w:tcW w:w="1710" w:type="dxa"/>
          </w:tcPr>
          <w:p w:rsidR="007F3040" w:rsidRDefault="007F3040" w:rsidP="007F3040">
            <w:pPr>
              <w:pStyle w:val="ListParagraph"/>
              <w:ind w:left="0"/>
              <w:jc w:val="center"/>
            </w:pPr>
          </w:p>
        </w:tc>
        <w:tc>
          <w:tcPr>
            <w:tcW w:w="1710" w:type="dxa"/>
          </w:tcPr>
          <w:p w:rsidR="007F3040" w:rsidRDefault="007F3040" w:rsidP="007F3040">
            <w:pPr>
              <w:pStyle w:val="ListParagraph"/>
              <w:ind w:left="0"/>
              <w:jc w:val="center"/>
            </w:pPr>
          </w:p>
        </w:tc>
        <w:tc>
          <w:tcPr>
            <w:tcW w:w="1440" w:type="dxa"/>
          </w:tcPr>
          <w:p w:rsidR="007F3040" w:rsidRDefault="007F3040" w:rsidP="007F3040">
            <w:pPr>
              <w:pStyle w:val="ListParagraph"/>
              <w:ind w:left="0"/>
              <w:jc w:val="center"/>
            </w:pPr>
            <w:r>
              <w:t>45</w:t>
            </w:r>
          </w:p>
        </w:tc>
        <w:tc>
          <w:tcPr>
            <w:tcW w:w="1548" w:type="dxa"/>
          </w:tcPr>
          <w:p w:rsidR="007F3040" w:rsidRDefault="007F3040" w:rsidP="007F3040">
            <w:pPr>
              <w:pStyle w:val="ListParagraph"/>
              <w:ind w:left="0"/>
              <w:jc w:val="center"/>
            </w:pPr>
            <w:r>
              <w:t>54</w:t>
            </w:r>
          </w:p>
        </w:tc>
      </w:tr>
      <w:tr w:rsidR="00AD2C01" w:rsidTr="00256521">
        <w:tc>
          <w:tcPr>
            <w:tcW w:w="3150" w:type="dxa"/>
          </w:tcPr>
          <w:p w:rsidR="00AD2C01" w:rsidRDefault="00AD2C01" w:rsidP="00AD2C01">
            <w:pPr>
              <w:pStyle w:val="ListParagraph"/>
              <w:ind w:left="0"/>
            </w:pPr>
            <w:r>
              <w:t>Race</w:t>
            </w:r>
            <w:r w:rsidR="00337BE3">
              <w:t xml:space="preserve"> (%)</w:t>
            </w:r>
          </w:p>
        </w:tc>
        <w:tc>
          <w:tcPr>
            <w:tcW w:w="1710" w:type="dxa"/>
          </w:tcPr>
          <w:p w:rsidR="00AD2C01" w:rsidRDefault="00AD2C01" w:rsidP="007F3040">
            <w:pPr>
              <w:pStyle w:val="ListParagraph"/>
              <w:ind w:left="0"/>
              <w:jc w:val="center"/>
            </w:pPr>
          </w:p>
        </w:tc>
        <w:tc>
          <w:tcPr>
            <w:tcW w:w="1710" w:type="dxa"/>
          </w:tcPr>
          <w:p w:rsidR="00AD2C01" w:rsidRDefault="00AD2C01" w:rsidP="007F3040">
            <w:pPr>
              <w:pStyle w:val="ListParagraph"/>
              <w:ind w:left="0"/>
              <w:jc w:val="center"/>
            </w:pPr>
          </w:p>
        </w:tc>
        <w:tc>
          <w:tcPr>
            <w:tcW w:w="1440" w:type="dxa"/>
          </w:tcPr>
          <w:p w:rsidR="00AD2C01" w:rsidRDefault="00AD2C01" w:rsidP="007F3040">
            <w:pPr>
              <w:pStyle w:val="ListParagraph"/>
              <w:ind w:left="0"/>
              <w:jc w:val="center"/>
            </w:pPr>
          </w:p>
        </w:tc>
        <w:tc>
          <w:tcPr>
            <w:tcW w:w="1548" w:type="dxa"/>
          </w:tcPr>
          <w:p w:rsidR="00AD2C01" w:rsidRDefault="00AD2C01" w:rsidP="007F3040">
            <w:pPr>
              <w:pStyle w:val="ListParagraph"/>
              <w:ind w:left="0"/>
              <w:jc w:val="center"/>
            </w:pPr>
          </w:p>
        </w:tc>
      </w:tr>
      <w:tr w:rsidR="00AD2C01" w:rsidTr="00256521">
        <w:tc>
          <w:tcPr>
            <w:tcW w:w="3150" w:type="dxa"/>
          </w:tcPr>
          <w:p w:rsidR="00AD2C01" w:rsidRDefault="00AD2C01" w:rsidP="00AD2C01">
            <w:pPr>
              <w:pStyle w:val="ListParagraph"/>
              <w:ind w:left="0"/>
            </w:pPr>
            <w:r>
              <w:t xml:space="preserve">    NHW</w:t>
            </w:r>
          </w:p>
        </w:tc>
        <w:tc>
          <w:tcPr>
            <w:tcW w:w="1710" w:type="dxa"/>
          </w:tcPr>
          <w:p w:rsidR="00AD2C01" w:rsidRDefault="007F3040" w:rsidP="007F3040">
            <w:pPr>
              <w:pStyle w:val="ListParagraph"/>
              <w:ind w:left="0"/>
              <w:jc w:val="center"/>
            </w:pPr>
            <w:r>
              <w:t>38</w:t>
            </w:r>
          </w:p>
        </w:tc>
        <w:tc>
          <w:tcPr>
            <w:tcW w:w="1710" w:type="dxa"/>
          </w:tcPr>
          <w:p w:rsidR="00AD2C01" w:rsidRDefault="007F3040" w:rsidP="007F3040">
            <w:pPr>
              <w:pStyle w:val="ListParagraph"/>
              <w:ind w:left="0"/>
              <w:jc w:val="center"/>
            </w:pPr>
            <w:r>
              <w:t>56</w:t>
            </w:r>
          </w:p>
        </w:tc>
        <w:tc>
          <w:tcPr>
            <w:tcW w:w="1440" w:type="dxa"/>
          </w:tcPr>
          <w:p w:rsidR="00AD2C01" w:rsidRDefault="007F3040" w:rsidP="007F3040">
            <w:pPr>
              <w:pStyle w:val="ListParagraph"/>
              <w:ind w:left="0"/>
              <w:jc w:val="center"/>
            </w:pPr>
            <w:r>
              <w:t>45</w:t>
            </w:r>
          </w:p>
        </w:tc>
        <w:tc>
          <w:tcPr>
            <w:tcW w:w="1548" w:type="dxa"/>
          </w:tcPr>
          <w:p w:rsidR="00AD2C01" w:rsidRDefault="007F3040" w:rsidP="007F3040">
            <w:pPr>
              <w:pStyle w:val="ListParagraph"/>
              <w:ind w:left="0"/>
              <w:jc w:val="center"/>
            </w:pPr>
            <w:r>
              <w:t>48</w:t>
            </w:r>
          </w:p>
        </w:tc>
      </w:tr>
      <w:tr w:rsidR="00AD2C01" w:rsidTr="00256521">
        <w:tc>
          <w:tcPr>
            <w:tcW w:w="3150" w:type="dxa"/>
          </w:tcPr>
          <w:p w:rsidR="00AD2C01" w:rsidRDefault="00AD2C01" w:rsidP="00AD2C01">
            <w:pPr>
              <w:pStyle w:val="ListParagraph"/>
              <w:ind w:left="0"/>
            </w:pPr>
            <w:r>
              <w:t xml:space="preserve">    NHB</w:t>
            </w:r>
          </w:p>
        </w:tc>
        <w:tc>
          <w:tcPr>
            <w:tcW w:w="1710" w:type="dxa"/>
          </w:tcPr>
          <w:p w:rsidR="00AD2C01" w:rsidRDefault="007F3040" w:rsidP="007F3040">
            <w:pPr>
              <w:pStyle w:val="ListParagraph"/>
              <w:ind w:left="0"/>
              <w:jc w:val="center"/>
            </w:pPr>
            <w:r>
              <w:t>40</w:t>
            </w:r>
          </w:p>
        </w:tc>
        <w:tc>
          <w:tcPr>
            <w:tcW w:w="1710" w:type="dxa"/>
          </w:tcPr>
          <w:p w:rsidR="00AD2C01" w:rsidRDefault="007F3040" w:rsidP="007F3040">
            <w:pPr>
              <w:pStyle w:val="ListParagraph"/>
              <w:ind w:left="0"/>
              <w:jc w:val="center"/>
            </w:pPr>
            <w:r>
              <w:t>22</w:t>
            </w:r>
          </w:p>
        </w:tc>
        <w:tc>
          <w:tcPr>
            <w:tcW w:w="1440" w:type="dxa"/>
          </w:tcPr>
          <w:p w:rsidR="00AD2C01" w:rsidRDefault="007F3040" w:rsidP="007F3040">
            <w:pPr>
              <w:pStyle w:val="ListParagraph"/>
              <w:ind w:left="0"/>
              <w:jc w:val="center"/>
            </w:pPr>
            <w:r>
              <w:t>30</w:t>
            </w:r>
          </w:p>
        </w:tc>
        <w:tc>
          <w:tcPr>
            <w:tcW w:w="1548" w:type="dxa"/>
          </w:tcPr>
          <w:p w:rsidR="00AD2C01" w:rsidRDefault="007F3040" w:rsidP="007F3040">
            <w:pPr>
              <w:pStyle w:val="ListParagraph"/>
              <w:ind w:left="0"/>
              <w:jc w:val="center"/>
            </w:pPr>
            <w:r>
              <w:t>33</w:t>
            </w:r>
          </w:p>
        </w:tc>
      </w:tr>
      <w:tr w:rsidR="00AD2C01" w:rsidTr="00256521">
        <w:tc>
          <w:tcPr>
            <w:tcW w:w="3150" w:type="dxa"/>
          </w:tcPr>
          <w:p w:rsidR="00AD2C01" w:rsidRDefault="00AD2C01" w:rsidP="00AD2C01">
            <w:pPr>
              <w:pStyle w:val="ListParagraph"/>
              <w:ind w:left="0"/>
            </w:pPr>
            <w:r>
              <w:t xml:space="preserve">    Other</w:t>
            </w:r>
            <w:r w:rsidR="00E26E28">
              <w:t>*</w:t>
            </w:r>
          </w:p>
        </w:tc>
        <w:tc>
          <w:tcPr>
            <w:tcW w:w="1710" w:type="dxa"/>
          </w:tcPr>
          <w:p w:rsidR="00AD2C01" w:rsidRDefault="007F3040" w:rsidP="007F3040">
            <w:pPr>
              <w:pStyle w:val="ListParagraph"/>
              <w:ind w:left="0"/>
              <w:jc w:val="center"/>
            </w:pPr>
            <w:r>
              <w:t>22</w:t>
            </w:r>
          </w:p>
        </w:tc>
        <w:tc>
          <w:tcPr>
            <w:tcW w:w="1710" w:type="dxa"/>
          </w:tcPr>
          <w:p w:rsidR="00AD2C01" w:rsidRDefault="007F3040" w:rsidP="007F3040">
            <w:pPr>
              <w:pStyle w:val="ListParagraph"/>
              <w:ind w:left="0"/>
              <w:jc w:val="center"/>
            </w:pPr>
            <w:r>
              <w:t>22</w:t>
            </w:r>
          </w:p>
        </w:tc>
        <w:tc>
          <w:tcPr>
            <w:tcW w:w="1440" w:type="dxa"/>
          </w:tcPr>
          <w:p w:rsidR="00AD2C01" w:rsidRDefault="007F3040" w:rsidP="007F3040">
            <w:pPr>
              <w:pStyle w:val="ListParagraph"/>
              <w:ind w:left="0"/>
              <w:jc w:val="center"/>
            </w:pPr>
            <w:r>
              <w:t>25</w:t>
            </w:r>
          </w:p>
        </w:tc>
        <w:tc>
          <w:tcPr>
            <w:tcW w:w="1548" w:type="dxa"/>
          </w:tcPr>
          <w:p w:rsidR="00AD2C01" w:rsidRDefault="007F3040" w:rsidP="007F3040">
            <w:pPr>
              <w:pStyle w:val="ListParagraph"/>
              <w:ind w:left="0"/>
              <w:jc w:val="center"/>
            </w:pPr>
            <w:r>
              <w:t>20</w:t>
            </w:r>
          </w:p>
        </w:tc>
      </w:tr>
      <w:tr w:rsidR="007F3040" w:rsidTr="00256521">
        <w:tc>
          <w:tcPr>
            <w:tcW w:w="3150" w:type="dxa"/>
          </w:tcPr>
          <w:p w:rsidR="007F3040" w:rsidRDefault="007F3040" w:rsidP="00AD2C01">
            <w:pPr>
              <w:pStyle w:val="ListParagraph"/>
              <w:ind w:left="0"/>
            </w:pPr>
            <w:r>
              <w:t>Mean age (SD)</w:t>
            </w:r>
          </w:p>
        </w:tc>
        <w:tc>
          <w:tcPr>
            <w:tcW w:w="1710" w:type="dxa"/>
          </w:tcPr>
          <w:p w:rsidR="007F3040" w:rsidRDefault="007F3040" w:rsidP="007F3040">
            <w:pPr>
              <w:pStyle w:val="ListParagraph"/>
              <w:ind w:left="0"/>
              <w:jc w:val="center"/>
            </w:pPr>
            <w:r>
              <w:t>36.5 (9.3)</w:t>
            </w:r>
          </w:p>
        </w:tc>
        <w:tc>
          <w:tcPr>
            <w:tcW w:w="1710" w:type="dxa"/>
          </w:tcPr>
          <w:p w:rsidR="007F3040" w:rsidRDefault="00256521" w:rsidP="007F3040">
            <w:pPr>
              <w:pStyle w:val="ListParagraph"/>
              <w:ind w:left="0"/>
              <w:jc w:val="center"/>
            </w:pPr>
            <w:r>
              <w:t>36.1 (8.9)</w:t>
            </w:r>
          </w:p>
        </w:tc>
        <w:tc>
          <w:tcPr>
            <w:tcW w:w="1440" w:type="dxa"/>
          </w:tcPr>
          <w:p w:rsidR="007F3040" w:rsidRDefault="00256521" w:rsidP="007F3040">
            <w:pPr>
              <w:pStyle w:val="ListParagraph"/>
              <w:ind w:left="0"/>
              <w:jc w:val="center"/>
            </w:pPr>
            <w:r>
              <w:t>35.3 (9.8)</w:t>
            </w:r>
          </w:p>
        </w:tc>
        <w:tc>
          <w:tcPr>
            <w:tcW w:w="1548" w:type="dxa"/>
          </w:tcPr>
          <w:p w:rsidR="007F3040" w:rsidRDefault="00256521" w:rsidP="007F3040">
            <w:pPr>
              <w:pStyle w:val="ListParagraph"/>
              <w:ind w:left="0"/>
              <w:jc w:val="center"/>
            </w:pPr>
            <w:r>
              <w:t>37.3 (8.3)</w:t>
            </w:r>
          </w:p>
        </w:tc>
      </w:tr>
      <w:tr w:rsidR="007F3040" w:rsidTr="00256521">
        <w:tc>
          <w:tcPr>
            <w:tcW w:w="3150" w:type="dxa"/>
          </w:tcPr>
          <w:p w:rsidR="007F3040" w:rsidRDefault="00256521" w:rsidP="00AD2C01">
            <w:pPr>
              <w:pStyle w:val="ListParagraph"/>
              <w:ind w:left="0"/>
            </w:pPr>
            <w:r>
              <w:t>Mean baseline HA freq.</w:t>
            </w:r>
            <w:r w:rsidR="007F3040">
              <w:t xml:space="preserve"> (SD)</w:t>
            </w:r>
          </w:p>
        </w:tc>
        <w:tc>
          <w:tcPr>
            <w:tcW w:w="1710" w:type="dxa"/>
          </w:tcPr>
          <w:p w:rsidR="007F3040" w:rsidRDefault="007F3040" w:rsidP="007F3040">
            <w:pPr>
              <w:pStyle w:val="ListParagraph"/>
              <w:ind w:left="0"/>
              <w:jc w:val="center"/>
            </w:pPr>
            <w:r>
              <w:t>21.3 (8.0)</w:t>
            </w:r>
          </w:p>
        </w:tc>
        <w:tc>
          <w:tcPr>
            <w:tcW w:w="1710" w:type="dxa"/>
          </w:tcPr>
          <w:p w:rsidR="007F3040" w:rsidRDefault="00256521" w:rsidP="007F3040">
            <w:pPr>
              <w:pStyle w:val="ListParagraph"/>
              <w:ind w:left="0"/>
              <w:jc w:val="center"/>
            </w:pPr>
            <w:r>
              <w:t>21.4 (7.7)</w:t>
            </w:r>
          </w:p>
        </w:tc>
        <w:tc>
          <w:tcPr>
            <w:tcW w:w="1440" w:type="dxa"/>
          </w:tcPr>
          <w:p w:rsidR="007F3040" w:rsidRDefault="00256521" w:rsidP="007F3040">
            <w:pPr>
              <w:pStyle w:val="ListParagraph"/>
              <w:ind w:left="0"/>
              <w:jc w:val="center"/>
            </w:pPr>
            <w:r>
              <w:t>20.4 (7.5)</w:t>
            </w:r>
          </w:p>
        </w:tc>
        <w:tc>
          <w:tcPr>
            <w:tcW w:w="1548" w:type="dxa"/>
          </w:tcPr>
          <w:p w:rsidR="007F3040" w:rsidRDefault="00256521" w:rsidP="007F3040">
            <w:pPr>
              <w:pStyle w:val="ListParagraph"/>
              <w:ind w:left="0"/>
              <w:jc w:val="center"/>
            </w:pPr>
            <w:r>
              <w:t>22.2 (8.1)</w:t>
            </w:r>
          </w:p>
        </w:tc>
      </w:tr>
      <w:tr w:rsidR="007F3040" w:rsidTr="00256521">
        <w:tc>
          <w:tcPr>
            <w:tcW w:w="3150" w:type="dxa"/>
          </w:tcPr>
          <w:p w:rsidR="007F3040" w:rsidRDefault="007F3040" w:rsidP="00AD2C01">
            <w:pPr>
              <w:pStyle w:val="ListParagraph"/>
              <w:ind w:left="0"/>
            </w:pPr>
            <w:r>
              <w:t>Mean baseline HIT-6 (SD)</w:t>
            </w:r>
          </w:p>
        </w:tc>
        <w:tc>
          <w:tcPr>
            <w:tcW w:w="1710" w:type="dxa"/>
          </w:tcPr>
          <w:p w:rsidR="007F3040" w:rsidRDefault="00256521" w:rsidP="007F3040">
            <w:pPr>
              <w:pStyle w:val="ListParagraph"/>
              <w:ind w:left="0"/>
              <w:jc w:val="center"/>
            </w:pPr>
            <w:r>
              <w:t>61.6 (5.3)</w:t>
            </w:r>
          </w:p>
        </w:tc>
        <w:tc>
          <w:tcPr>
            <w:tcW w:w="1710" w:type="dxa"/>
          </w:tcPr>
          <w:p w:rsidR="007F3040" w:rsidRDefault="00256521" w:rsidP="007F3040">
            <w:pPr>
              <w:pStyle w:val="ListParagraph"/>
              <w:ind w:left="0"/>
              <w:jc w:val="center"/>
            </w:pPr>
            <w:r>
              <w:t>62.2 (4.0)</w:t>
            </w:r>
          </w:p>
        </w:tc>
        <w:tc>
          <w:tcPr>
            <w:tcW w:w="1440" w:type="dxa"/>
          </w:tcPr>
          <w:p w:rsidR="007F3040" w:rsidRDefault="00256521" w:rsidP="007F3040">
            <w:pPr>
              <w:pStyle w:val="ListParagraph"/>
              <w:ind w:left="0"/>
              <w:jc w:val="center"/>
            </w:pPr>
            <w:r>
              <w:t>62.2 (4.3)</w:t>
            </w:r>
          </w:p>
        </w:tc>
        <w:tc>
          <w:tcPr>
            <w:tcW w:w="1548" w:type="dxa"/>
          </w:tcPr>
          <w:p w:rsidR="007F3040" w:rsidRDefault="00256521" w:rsidP="007F3040">
            <w:pPr>
              <w:pStyle w:val="ListParagraph"/>
              <w:ind w:left="0"/>
              <w:jc w:val="center"/>
            </w:pPr>
            <w:r>
              <w:t>61.6 (5.1)</w:t>
            </w:r>
          </w:p>
        </w:tc>
      </w:tr>
    </w:tbl>
    <w:p w:rsidR="00E26E28" w:rsidRDefault="00826A74" w:rsidP="00826A74">
      <w:r>
        <w:t>*Other race includes Hispanics/Latinos, Asians, and American Indians</w:t>
      </w:r>
    </w:p>
    <w:p w:rsidR="00AD2C01" w:rsidRPr="00826A74" w:rsidRDefault="00AD2C01" w:rsidP="00826A74">
      <w:pPr>
        <w:rPr>
          <w:rFonts w:asciiTheme="majorHAnsi" w:hAnsiTheme="majorHAnsi"/>
        </w:rPr>
      </w:pPr>
      <w:r w:rsidRPr="00826A74">
        <w:rPr>
          <w:rFonts w:asciiTheme="majorHAnsi" w:hAnsiTheme="majorHAnsi"/>
        </w:rPr>
        <w:t>You might also have created a variable that defined each drug alon</w:t>
      </w:r>
      <w:r w:rsidR="007F3040" w:rsidRPr="00826A74">
        <w:rPr>
          <w:rFonts w:asciiTheme="majorHAnsi" w:hAnsiTheme="majorHAnsi"/>
        </w:rPr>
        <w:t>e, both drugs, and neither drug and examined the distribution across those categories.</w:t>
      </w:r>
    </w:p>
    <w:p w:rsidR="00826A74" w:rsidRDefault="00826A74" w:rsidP="00AD2C01">
      <w:pPr>
        <w:pStyle w:val="ListParagraph"/>
      </w:pP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Data</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bothdrugs</w:t>
      </w:r>
      <w:proofErr w:type="spellEnd"/>
      <w:r>
        <w:rPr>
          <w:rFonts w:ascii="Courier New" w:hAnsi="Courier New" w:cs="Courier New"/>
          <w:b/>
          <w:bCs/>
          <w:color w:val="000000"/>
          <w:sz w:val="24"/>
          <w:szCs w:val="24"/>
          <w:shd w:val="clear" w:color="auto" w:fill="FFFFFF"/>
        </w:rPr>
        <w:t>;</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set</w:t>
      </w:r>
      <w:r>
        <w:rPr>
          <w:rFonts w:ascii="Courier New" w:hAnsi="Courier New" w:cs="Courier New"/>
          <w:b/>
          <w:bCs/>
          <w:color w:val="000000"/>
          <w:sz w:val="24"/>
          <w:szCs w:val="24"/>
          <w:shd w:val="clear" w:color="auto" w:fill="FFFFFF"/>
        </w:rPr>
        <w:t xml:space="preserve"> dpet831b.extwo;</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newrx</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 xml:space="preserve"> and </w:t>
      </w:r>
      <w:proofErr w:type="spellStart"/>
      <w:r>
        <w:rPr>
          <w:rFonts w:ascii="Courier New" w:hAnsi="Courier New" w:cs="Courier New"/>
          <w:b/>
          <w:bCs/>
          <w:color w:val="000000"/>
          <w:sz w:val="24"/>
          <w:szCs w:val="24"/>
          <w:shd w:val="clear" w:color="auto" w:fill="FFFFFF"/>
        </w:rPr>
        <w:t>topir</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both = </w:t>
      </w:r>
      <w:r>
        <w:rPr>
          <w:rFonts w:ascii="Courier New" w:hAnsi="Courier New" w:cs="Courier New"/>
          <w:b/>
          <w:bCs/>
          <w:color w:val="008080"/>
          <w:sz w:val="24"/>
          <w:szCs w:val="24"/>
          <w:shd w:val="clear" w:color="auto" w:fill="FFFFFF"/>
        </w:rPr>
        <w:t>3</w:t>
      </w:r>
      <w:r>
        <w:rPr>
          <w:rFonts w:ascii="Courier New" w:hAnsi="Courier New" w:cs="Courier New"/>
          <w:b/>
          <w:bCs/>
          <w:color w:val="000000"/>
          <w:sz w:val="24"/>
          <w:szCs w:val="24"/>
          <w:shd w:val="clear" w:color="auto" w:fill="FFFFFF"/>
        </w:rPr>
        <w:t>;</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newrx</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0</w:t>
      </w:r>
      <w:r>
        <w:rPr>
          <w:rFonts w:ascii="Courier New" w:hAnsi="Courier New" w:cs="Courier New"/>
          <w:b/>
          <w:bCs/>
          <w:color w:val="000000"/>
          <w:sz w:val="24"/>
          <w:szCs w:val="24"/>
          <w:shd w:val="clear" w:color="auto" w:fill="FFFFFF"/>
        </w:rPr>
        <w:t xml:space="preserve"> and </w:t>
      </w:r>
      <w:proofErr w:type="spellStart"/>
      <w:r>
        <w:rPr>
          <w:rFonts w:ascii="Courier New" w:hAnsi="Courier New" w:cs="Courier New"/>
          <w:b/>
          <w:bCs/>
          <w:color w:val="000000"/>
          <w:sz w:val="24"/>
          <w:szCs w:val="24"/>
          <w:shd w:val="clear" w:color="auto" w:fill="FFFFFF"/>
        </w:rPr>
        <w:t>topir</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both = </w:t>
      </w:r>
      <w:r>
        <w:rPr>
          <w:rFonts w:ascii="Courier New" w:hAnsi="Courier New" w:cs="Courier New"/>
          <w:b/>
          <w:bCs/>
          <w:color w:val="008080"/>
          <w:sz w:val="24"/>
          <w:szCs w:val="24"/>
          <w:shd w:val="clear" w:color="auto" w:fill="FFFFFF"/>
        </w:rPr>
        <w:t>2</w:t>
      </w:r>
      <w:r>
        <w:rPr>
          <w:rFonts w:ascii="Courier New" w:hAnsi="Courier New" w:cs="Courier New"/>
          <w:b/>
          <w:bCs/>
          <w:color w:val="000000"/>
          <w:sz w:val="24"/>
          <w:szCs w:val="24"/>
          <w:shd w:val="clear" w:color="auto" w:fill="FFFFFF"/>
        </w:rPr>
        <w:t>;</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newrx</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 xml:space="preserve"> and </w:t>
      </w:r>
      <w:proofErr w:type="spellStart"/>
      <w:r>
        <w:rPr>
          <w:rFonts w:ascii="Courier New" w:hAnsi="Courier New" w:cs="Courier New"/>
          <w:b/>
          <w:bCs/>
          <w:color w:val="000000"/>
          <w:sz w:val="24"/>
          <w:szCs w:val="24"/>
          <w:shd w:val="clear" w:color="auto" w:fill="FFFFFF"/>
        </w:rPr>
        <w:t>topir</w:t>
      </w:r>
      <w:proofErr w:type="spellEnd"/>
      <w:r>
        <w:rPr>
          <w:rFonts w:ascii="Courier New" w:hAnsi="Courier New" w:cs="Courier New"/>
          <w:b/>
          <w:bCs/>
          <w:color w:val="000000"/>
          <w:sz w:val="24"/>
          <w:szCs w:val="24"/>
          <w:shd w:val="clear" w:color="auto" w:fill="FFFFFF"/>
        </w:rPr>
        <w:t xml:space="preserve"> = </w:t>
      </w:r>
      <w:r>
        <w:rPr>
          <w:rFonts w:ascii="Courier New" w:hAnsi="Courier New" w:cs="Courier New"/>
          <w:b/>
          <w:bCs/>
          <w:color w:val="008080"/>
          <w:sz w:val="24"/>
          <w:szCs w:val="24"/>
          <w:shd w:val="clear" w:color="auto" w:fill="FFFFFF"/>
        </w:rPr>
        <w:t>0</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both = </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both=</w:t>
      </w:r>
      <w:r>
        <w:rPr>
          <w:rFonts w:ascii="Courier New" w:hAnsi="Courier New" w:cs="Courier New"/>
          <w:b/>
          <w:bCs/>
          <w:color w:val="008080"/>
          <w:sz w:val="24"/>
          <w:szCs w:val="24"/>
          <w:shd w:val="clear" w:color="auto" w:fill="FFFFFF"/>
        </w:rPr>
        <w:t>0</w:t>
      </w:r>
      <w:r>
        <w:rPr>
          <w:rFonts w:ascii="Courier New" w:hAnsi="Courier New" w:cs="Courier New"/>
          <w:b/>
          <w:bCs/>
          <w:color w:val="000000"/>
          <w:sz w:val="24"/>
          <w:szCs w:val="24"/>
          <w:shd w:val="clear" w:color="auto" w:fill="FFFFFF"/>
        </w:rPr>
        <w:t>;</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hasevpre</w:t>
      </w:r>
      <w:proofErr w:type="spellEnd"/>
      <w:r>
        <w:rPr>
          <w:rFonts w:ascii="Courier New" w:hAnsi="Courier New" w:cs="Courier New"/>
          <w:b/>
          <w:bCs/>
          <w:color w:val="000000"/>
          <w:sz w:val="24"/>
          <w:szCs w:val="24"/>
          <w:shd w:val="clear" w:color="auto" w:fill="FFFFFF"/>
        </w:rPr>
        <w:t xml:space="preserve"> </w:t>
      </w:r>
      <w:proofErr w:type="gramStart"/>
      <w:r>
        <w:rPr>
          <w:rFonts w:ascii="Courier New" w:hAnsi="Courier New" w:cs="Courier New"/>
          <w:b/>
          <w:bCs/>
          <w:color w:val="000000"/>
          <w:sz w:val="24"/>
          <w:szCs w:val="24"/>
          <w:shd w:val="clear" w:color="auto" w:fill="FFFFFF"/>
        </w:rPr>
        <w:t>in(</w:t>
      </w:r>
      <w:proofErr w:type="gramEnd"/>
      <w:r>
        <w:rPr>
          <w:rFonts w:ascii="Courier New" w:hAnsi="Courier New" w:cs="Courier New"/>
          <w:b/>
          <w:bCs/>
          <w:color w:val="008080"/>
          <w:sz w:val="24"/>
          <w:szCs w:val="24"/>
          <w:shd w:val="clear" w:color="auto" w:fill="FFFFFF"/>
        </w:rPr>
        <w:t>8</w:t>
      </w:r>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9</w:t>
      </w:r>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10</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sevpre</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1</w:t>
      </w:r>
      <w:r>
        <w:rPr>
          <w:rFonts w:ascii="Courier New" w:hAnsi="Courier New" w:cs="Courier New"/>
          <w:b/>
          <w:bCs/>
          <w:color w:val="000000"/>
          <w:sz w:val="24"/>
          <w:szCs w:val="24"/>
          <w:shd w:val="clear" w:color="auto" w:fill="FFFFFF"/>
        </w:rPr>
        <w:t>;</w:t>
      </w:r>
    </w:p>
    <w:p w:rsidR="00261E68" w:rsidRDefault="00261E68" w:rsidP="00261E68">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00"/>
          <w:sz w:val="24"/>
          <w:szCs w:val="24"/>
          <w:shd w:val="clear" w:color="auto" w:fill="FFFFFF"/>
        </w:rPr>
        <w:tab/>
      </w:r>
      <w:r>
        <w:rPr>
          <w:rFonts w:ascii="Courier New" w:hAnsi="Courier New" w:cs="Courier New"/>
          <w:b/>
          <w:bCs/>
          <w:color w:val="0000FF"/>
          <w:sz w:val="24"/>
          <w:szCs w:val="24"/>
          <w:shd w:val="clear" w:color="auto" w:fill="FFFFFF"/>
        </w:rPr>
        <w:t>else</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if</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hasevpre</w:t>
      </w:r>
      <w:proofErr w:type="spellEnd"/>
      <w:r>
        <w:rPr>
          <w:rFonts w:ascii="Courier New" w:hAnsi="Courier New" w:cs="Courier New"/>
          <w:b/>
          <w:bCs/>
          <w:color w:val="000000"/>
          <w:sz w:val="24"/>
          <w:szCs w:val="24"/>
          <w:shd w:val="clear" w:color="auto" w:fill="FFFFFF"/>
        </w:rPr>
        <w:t xml:space="preserve"> &lt; </w:t>
      </w:r>
      <w:r>
        <w:rPr>
          <w:rFonts w:ascii="Courier New" w:hAnsi="Courier New" w:cs="Courier New"/>
          <w:b/>
          <w:bCs/>
          <w:color w:val="008080"/>
          <w:sz w:val="24"/>
          <w:szCs w:val="24"/>
          <w:shd w:val="clear" w:color="auto" w:fill="FFFFFF"/>
        </w:rPr>
        <w:t>8</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then</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sevpre</w:t>
      </w:r>
      <w:proofErr w:type="spellEnd"/>
      <w:r>
        <w:rPr>
          <w:rFonts w:ascii="Courier New" w:hAnsi="Courier New" w:cs="Courier New"/>
          <w:b/>
          <w:bCs/>
          <w:color w:val="000000"/>
          <w:sz w:val="24"/>
          <w:szCs w:val="24"/>
          <w:shd w:val="clear" w:color="auto" w:fill="FFFFFF"/>
        </w:rPr>
        <w:t>=</w:t>
      </w:r>
      <w:r>
        <w:rPr>
          <w:rFonts w:ascii="Courier New" w:hAnsi="Courier New" w:cs="Courier New"/>
          <w:b/>
          <w:bCs/>
          <w:color w:val="008080"/>
          <w:sz w:val="24"/>
          <w:szCs w:val="24"/>
          <w:shd w:val="clear" w:color="auto" w:fill="FFFFFF"/>
        </w:rPr>
        <w:t>0</w:t>
      </w:r>
      <w:r>
        <w:rPr>
          <w:rFonts w:ascii="Courier New" w:hAnsi="Courier New" w:cs="Courier New"/>
          <w:b/>
          <w:bCs/>
          <w:color w:val="000000"/>
          <w:sz w:val="24"/>
          <w:szCs w:val="24"/>
          <w:shd w:val="clear" w:color="auto" w:fill="FFFFFF"/>
        </w:rPr>
        <w:t>;</w:t>
      </w:r>
    </w:p>
    <w:p w:rsidR="00261E68" w:rsidRDefault="00261E68" w:rsidP="00261E68">
      <w:pPr>
        <w:pStyle w:val="ListParagraph"/>
        <w:rPr>
          <w:rFonts w:ascii="Courier New" w:hAnsi="Courier New" w:cs="Courier New"/>
          <w:b/>
          <w:bCs/>
          <w:color w:val="000000"/>
          <w:shd w:val="clear" w:color="auto" w:fill="FFFFFF"/>
        </w:rPr>
      </w:pPr>
      <w:r>
        <w:rPr>
          <w:rFonts w:ascii="Courier New" w:hAnsi="Courier New" w:cs="Courier New"/>
          <w:b/>
          <w:bCs/>
          <w:color w:val="000000"/>
          <w:shd w:val="clear" w:color="auto" w:fill="FFFFFF"/>
        </w:rPr>
        <w:tab/>
      </w:r>
      <w:r>
        <w:rPr>
          <w:rFonts w:ascii="Courier New" w:hAnsi="Courier New" w:cs="Courier New"/>
          <w:b/>
          <w:bCs/>
          <w:color w:val="000080"/>
          <w:shd w:val="clear" w:color="auto" w:fill="FFFFFF"/>
        </w:rPr>
        <w:t>run</w:t>
      </w:r>
      <w:r>
        <w:rPr>
          <w:rFonts w:ascii="Courier New" w:hAnsi="Courier New" w:cs="Courier New"/>
          <w:b/>
          <w:bCs/>
          <w:color w:val="000000"/>
          <w:shd w:val="clear" w:color="auto" w:fill="FFFFFF"/>
        </w:rPr>
        <w:t>;</w:t>
      </w:r>
    </w:p>
    <w:p w:rsidR="00826A74" w:rsidRDefault="00826A74" w:rsidP="00261E68">
      <w:pPr>
        <w:pStyle w:val="ListParagraph"/>
        <w:rPr>
          <w:rFonts w:ascii="Courier New" w:hAnsi="Courier New" w:cs="Courier New"/>
          <w:b/>
          <w:bCs/>
          <w:color w:val="000000"/>
          <w:shd w:val="clear" w:color="auto" w:fill="FFFFFF"/>
        </w:rPr>
      </w:pP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freq</w:t>
      </w:r>
      <w:proofErr w:type="spellEnd"/>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data</w:t>
      </w:r>
      <w:r>
        <w:rPr>
          <w:rFonts w:ascii="Courier New" w:hAnsi="Courier New" w:cs="Courier New"/>
          <w:b/>
          <w:bCs/>
          <w:color w:val="000000"/>
          <w:sz w:val="24"/>
          <w:szCs w:val="24"/>
          <w:shd w:val="clear" w:color="auto" w:fill="FFFFFF"/>
        </w:rPr>
        <w:t xml:space="preserve"> = </w:t>
      </w:r>
      <w:proofErr w:type="spellStart"/>
      <w:r>
        <w:rPr>
          <w:rFonts w:ascii="Courier New" w:hAnsi="Courier New" w:cs="Courier New"/>
          <w:b/>
          <w:bCs/>
          <w:color w:val="000000"/>
          <w:sz w:val="24"/>
          <w:szCs w:val="24"/>
          <w:shd w:val="clear" w:color="auto" w:fill="FFFFFF"/>
        </w:rPr>
        <w:t>bothdrugs</w:t>
      </w:r>
      <w:proofErr w:type="spellEnd"/>
      <w:r>
        <w:rPr>
          <w:rFonts w:ascii="Courier New" w:hAnsi="Courier New" w:cs="Courier New"/>
          <w:b/>
          <w:bCs/>
          <w:color w:val="000000"/>
          <w:sz w:val="24"/>
          <w:szCs w:val="24"/>
          <w:shd w:val="clear" w:color="auto" w:fill="FFFFFF"/>
        </w:rPr>
        <w:t>;</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male*both/</w:t>
      </w:r>
      <w:proofErr w:type="spellStart"/>
      <w:r>
        <w:rPr>
          <w:rFonts w:ascii="Courier New" w:hAnsi="Courier New" w:cs="Courier New"/>
          <w:b/>
          <w:bCs/>
          <w:color w:val="0000FF"/>
          <w:sz w:val="24"/>
          <w:szCs w:val="24"/>
          <w:shd w:val="clear" w:color="auto" w:fill="FFFFFF"/>
        </w:rPr>
        <w:t>norow</w:t>
      </w:r>
      <w:proofErr w:type="spellEnd"/>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nopct</w:t>
      </w:r>
      <w:proofErr w:type="spellEnd"/>
      <w:r>
        <w:rPr>
          <w:rFonts w:ascii="Courier New" w:hAnsi="Courier New" w:cs="Courier New"/>
          <w:b/>
          <w:bCs/>
          <w:color w:val="000000"/>
          <w:sz w:val="24"/>
          <w:szCs w:val="24"/>
          <w:shd w:val="clear" w:color="auto" w:fill="FFFFFF"/>
        </w:rPr>
        <w:t>;</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raceth</w:t>
      </w:r>
      <w:proofErr w:type="spellEnd"/>
      <w:r>
        <w:rPr>
          <w:rFonts w:ascii="Courier New" w:hAnsi="Courier New" w:cs="Courier New"/>
          <w:b/>
          <w:bCs/>
          <w:color w:val="000000"/>
          <w:sz w:val="24"/>
          <w:szCs w:val="24"/>
          <w:shd w:val="clear" w:color="auto" w:fill="FFFFFF"/>
        </w:rPr>
        <w:t>*both/</w:t>
      </w:r>
      <w:proofErr w:type="spellStart"/>
      <w:r>
        <w:rPr>
          <w:rFonts w:ascii="Courier New" w:hAnsi="Courier New" w:cs="Courier New"/>
          <w:b/>
          <w:bCs/>
          <w:color w:val="0000FF"/>
          <w:sz w:val="24"/>
          <w:szCs w:val="24"/>
          <w:shd w:val="clear" w:color="auto" w:fill="FFFFFF"/>
        </w:rPr>
        <w:t>norow</w:t>
      </w:r>
      <w:proofErr w:type="spellEnd"/>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nopct</w:t>
      </w:r>
      <w:proofErr w:type="spellEnd"/>
      <w:r>
        <w:rPr>
          <w:rFonts w:ascii="Courier New" w:hAnsi="Courier New" w:cs="Courier New"/>
          <w:b/>
          <w:bCs/>
          <w:color w:val="000000"/>
          <w:sz w:val="24"/>
          <w:szCs w:val="24"/>
          <w:shd w:val="clear" w:color="auto" w:fill="FFFFFF"/>
        </w:rPr>
        <w:t>;</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tables</w:t>
      </w:r>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sevpre</w:t>
      </w:r>
      <w:proofErr w:type="spellEnd"/>
      <w:r>
        <w:rPr>
          <w:rFonts w:ascii="Courier New" w:hAnsi="Courier New" w:cs="Courier New"/>
          <w:b/>
          <w:bCs/>
          <w:color w:val="000000"/>
          <w:sz w:val="24"/>
          <w:szCs w:val="24"/>
          <w:shd w:val="clear" w:color="auto" w:fill="FFFFFF"/>
        </w:rPr>
        <w:t>*both/</w:t>
      </w:r>
      <w:proofErr w:type="spellStart"/>
      <w:r>
        <w:rPr>
          <w:rFonts w:ascii="Courier New" w:hAnsi="Courier New" w:cs="Courier New"/>
          <w:b/>
          <w:bCs/>
          <w:color w:val="0000FF"/>
          <w:sz w:val="24"/>
          <w:szCs w:val="24"/>
          <w:shd w:val="clear" w:color="auto" w:fill="FFFFFF"/>
        </w:rPr>
        <w:t>norow</w:t>
      </w:r>
      <w:proofErr w:type="spellEnd"/>
      <w:r>
        <w:rPr>
          <w:rFonts w:ascii="Courier New" w:hAnsi="Courier New" w:cs="Courier New"/>
          <w:b/>
          <w:bCs/>
          <w:color w:val="000000"/>
          <w:sz w:val="24"/>
          <w:szCs w:val="24"/>
          <w:shd w:val="clear" w:color="auto" w:fill="FFFFFF"/>
        </w:rPr>
        <w:t xml:space="preserve"> </w:t>
      </w:r>
      <w:proofErr w:type="spellStart"/>
      <w:r>
        <w:rPr>
          <w:rFonts w:ascii="Courier New" w:hAnsi="Courier New" w:cs="Courier New"/>
          <w:b/>
          <w:bCs/>
          <w:color w:val="000000"/>
          <w:sz w:val="24"/>
          <w:szCs w:val="24"/>
          <w:shd w:val="clear" w:color="auto" w:fill="FFFFFF"/>
        </w:rPr>
        <w:t>nopct</w:t>
      </w:r>
      <w:proofErr w:type="spellEnd"/>
      <w:r>
        <w:rPr>
          <w:rFonts w:ascii="Courier New" w:hAnsi="Courier New" w:cs="Courier New"/>
          <w:b/>
          <w:bCs/>
          <w:color w:val="000000"/>
          <w:sz w:val="24"/>
          <w:szCs w:val="24"/>
          <w:shd w:val="clear" w:color="auto" w:fill="FFFFFF"/>
        </w:rPr>
        <w:t>;</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b/>
          <w:bCs/>
          <w:color w:val="000000"/>
          <w:sz w:val="24"/>
          <w:szCs w:val="24"/>
          <w:shd w:val="clear" w:color="auto" w:fill="FFFFFF"/>
        </w:rPr>
        <w:t>;</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80"/>
          <w:sz w:val="24"/>
          <w:szCs w:val="24"/>
          <w:shd w:val="clear" w:color="auto" w:fill="FFFFFF"/>
        </w:rPr>
        <w:lastRenderedPageBreak/>
        <w:t>proc</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80"/>
          <w:sz w:val="24"/>
          <w:szCs w:val="24"/>
          <w:shd w:val="clear" w:color="auto" w:fill="FFFFFF"/>
        </w:rPr>
        <w:t>means</w:t>
      </w:r>
      <w:r>
        <w:rPr>
          <w:rFonts w:ascii="Courier New" w:hAnsi="Courier New" w:cs="Courier New"/>
          <w:b/>
          <w:bCs/>
          <w:color w:val="000000"/>
          <w:sz w:val="24"/>
          <w:szCs w:val="24"/>
          <w:shd w:val="clear" w:color="auto" w:fill="FFFFFF"/>
        </w:rPr>
        <w:t xml:space="preserve"> </w:t>
      </w:r>
      <w:r>
        <w:rPr>
          <w:rFonts w:ascii="Courier New" w:hAnsi="Courier New" w:cs="Courier New"/>
          <w:b/>
          <w:bCs/>
          <w:color w:val="0000FF"/>
          <w:sz w:val="24"/>
          <w:szCs w:val="24"/>
          <w:shd w:val="clear" w:color="auto" w:fill="FFFFFF"/>
        </w:rPr>
        <w:t>data</w:t>
      </w:r>
      <w:r>
        <w:rPr>
          <w:rFonts w:ascii="Courier New" w:hAnsi="Courier New" w:cs="Courier New"/>
          <w:b/>
          <w:bCs/>
          <w:color w:val="000000"/>
          <w:sz w:val="24"/>
          <w:szCs w:val="24"/>
          <w:shd w:val="clear" w:color="auto" w:fill="FFFFFF"/>
        </w:rPr>
        <w:t xml:space="preserve"> = </w:t>
      </w:r>
      <w:proofErr w:type="spellStart"/>
      <w:r>
        <w:rPr>
          <w:rFonts w:ascii="Courier New" w:hAnsi="Courier New" w:cs="Courier New"/>
          <w:b/>
          <w:bCs/>
          <w:color w:val="000000"/>
          <w:sz w:val="24"/>
          <w:szCs w:val="24"/>
          <w:shd w:val="clear" w:color="auto" w:fill="FFFFFF"/>
        </w:rPr>
        <w:t>bothdrugs</w:t>
      </w:r>
      <w:proofErr w:type="spellEnd"/>
      <w:r>
        <w:rPr>
          <w:rFonts w:ascii="Courier New" w:hAnsi="Courier New" w:cs="Courier New"/>
          <w:b/>
          <w:bCs/>
          <w:color w:val="000000"/>
          <w:sz w:val="24"/>
          <w:szCs w:val="24"/>
          <w:shd w:val="clear" w:color="auto" w:fill="FFFFFF"/>
        </w:rPr>
        <w:t>;</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class</w:t>
      </w:r>
      <w:r>
        <w:rPr>
          <w:rFonts w:ascii="Courier New" w:hAnsi="Courier New" w:cs="Courier New"/>
          <w:b/>
          <w:bCs/>
          <w:color w:val="000000"/>
          <w:sz w:val="24"/>
          <w:szCs w:val="24"/>
          <w:shd w:val="clear" w:color="auto" w:fill="FFFFFF"/>
        </w:rPr>
        <w:t xml:space="preserve"> both;</w:t>
      </w:r>
    </w:p>
    <w:p w:rsidR="00826A74" w:rsidRDefault="00826A74" w:rsidP="00826A74">
      <w:pPr>
        <w:autoSpaceDE w:val="0"/>
        <w:autoSpaceDN w:val="0"/>
        <w:adjustRightInd w:val="0"/>
        <w:spacing w:after="0" w:line="240" w:lineRule="auto"/>
        <w:rPr>
          <w:rFonts w:ascii="Courier New" w:hAnsi="Courier New" w:cs="Courier New"/>
          <w:b/>
          <w:bCs/>
          <w:color w:val="000000"/>
          <w:sz w:val="24"/>
          <w:szCs w:val="24"/>
          <w:shd w:val="clear" w:color="auto" w:fill="FFFFFF"/>
        </w:rPr>
      </w:pPr>
      <w:r>
        <w:rPr>
          <w:rFonts w:ascii="Courier New" w:hAnsi="Courier New" w:cs="Courier New"/>
          <w:b/>
          <w:bCs/>
          <w:color w:val="0000FF"/>
          <w:sz w:val="24"/>
          <w:szCs w:val="24"/>
          <w:shd w:val="clear" w:color="auto" w:fill="FFFFFF"/>
        </w:rPr>
        <w:t>var</w:t>
      </w:r>
      <w:r>
        <w:rPr>
          <w:rFonts w:ascii="Courier New" w:hAnsi="Courier New" w:cs="Courier New"/>
          <w:b/>
          <w:bCs/>
          <w:color w:val="000000"/>
          <w:sz w:val="24"/>
          <w:szCs w:val="24"/>
          <w:shd w:val="clear" w:color="auto" w:fill="FFFFFF"/>
        </w:rPr>
        <w:t xml:space="preserve"> age </w:t>
      </w:r>
      <w:proofErr w:type="spellStart"/>
      <w:r>
        <w:rPr>
          <w:rFonts w:ascii="Courier New" w:hAnsi="Courier New" w:cs="Courier New"/>
          <w:b/>
          <w:bCs/>
          <w:color w:val="000000"/>
          <w:sz w:val="24"/>
          <w:szCs w:val="24"/>
          <w:shd w:val="clear" w:color="auto" w:fill="FFFFFF"/>
        </w:rPr>
        <w:t>hafrqpre</w:t>
      </w:r>
      <w:proofErr w:type="spellEnd"/>
      <w:r>
        <w:rPr>
          <w:rFonts w:ascii="Courier New" w:hAnsi="Courier New" w:cs="Courier New"/>
          <w:b/>
          <w:bCs/>
          <w:color w:val="000000"/>
          <w:sz w:val="24"/>
          <w:szCs w:val="24"/>
          <w:shd w:val="clear" w:color="auto" w:fill="FFFFFF"/>
        </w:rPr>
        <w:t xml:space="preserve"> hit6pre;</w:t>
      </w:r>
    </w:p>
    <w:p w:rsidR="00826A74" w:rsidRDefault="00826A74" w:rsidP="00826A74">
      <w:pPr>
        <w:pStyle w:val="ListParagraph"/>
      </w:pPr>
      <w:r>
        <w:rPr>
          <w:rFonts w:ascii="Courier New" w:hAnsi="Courier New" w:cs="Courier New"/>
          <w:b/>
          <w:bCs/>
          <w:color w:val="000080"/>
          <w:shd w:val="clear" w:color="auto" w:fill="FFFFFF"/>
        </w:rPr>
        <w:t>run</w:t>
      </w:r>
      <w:r>
        <w:rPr>
          <w:rFonts w:ascii="Courier New" w:hAnsi="Courier New" w:cs="Courier New"/>
          <w:b/>
          <w:bCs/>
          <w:color w:val="000000"/>
          <w:shd w:val="clear" w:color="auto" w:fill="FFFFFF"/>
        </w:rPr>
        <w:t>;</w:t>
      </w:r>
    </w:p>
    <w:tbl>
      <w:tblPr>
        <w:tblStyle w:val="TableGrid"/>
        <w:tblW w:w="0" w:type="auto"/>
        <w:tblInd w:w="18" w:type="dxa"/>
        <w:tblLook w:val="04A0" w:firstRow="1" w:lastRow="0" w:firstColumn="1" w:lastColumn="0" w:noHBand="0" w:noVBand="1"/>
      </w:tblPr>
      <w:tblGrid>
        <w:gridCol w:w="3150"/>
        <w:gridCol w:w="1710"/>
        <w:gridCol w:w="1710"/>
        <w:gridCol w:w="1440"/>
        <w:gridCol w:w="1548"/>
      </w:tblGrid>
      <w:tr w:rsidR="00256521" w:rsidTr="004D0653">
        <w:tc>
          <w:tcPr>
            <w:tcW w:w="3150" w:type="dxa"/>
          </w:tcPr>
          <w:p w:rsidR="00256521" w:rsidRDefault="00256521" w:rsidP="004D0653">
            <w:pPr>
              <w:pStyle w:val="ListParagraph"/>
              <w:ind w:left="0"/>
            </w:pPr>
            <w:r>
              <w:t>Variable</w:t>
            </w:r>
          </w:p>
        </w:tc>
        <w:tc>
          <w:tcPr>
            <w:tcW w:w="1710" w:type="dxa"/>
          </w:tcPr>
          <w:p w:rsidR="00256521" w:rsidRDefault="00CE685C" w:rsidP="004D0653">
            <w:pPr>
              <w:pStyle w:val="ListParagraph"/>
              <w:ind w:left="0"/>
              <w:jc w:val="center"/>
            </w:pPr>
            <w:r>
              <w:t>Neither</w:t>
            </w:r>
          </w:p>
          <w:p w:rsidR="00261E68" w:rsidRDefault="00261E68" w:rsidP="004D0653">
            <w:pPr>
              <w:pStyle w:val="ListParagraph"/>
              <w:ind w:left="0"/>
              <w:jc w:val="center"/>
            </w:pPr>
          </w:p>
          <w:p w:rsidR="00261E68" w:rsidRDefault="00261E68" w:rsidP="004D0653">
            <w:pPr>
              <w:pStyle w:val="ListParagraph"/>
              <w:ind w:left="0"/>
              <w:jc w:val="center"/>
            </w:pPr>
            <w:r>
              <w:t>N=21</w:t>
            </w:r>
          </w:p>
        </w:tc>
        <w:tc>
          <w:tcPr>
            <w:tcW w:w="1710" w:type="dxa"/>
          </w:tcPr>
          <w:p w:rsidR="00256521" w:rsidRDefault="00CE685C" w:rsidP="004D0653">
            <w:pPr>
              <w:pStyle w:val="ListParagraph"/>
              <w:ind w:left="0"/>
              <w:jc w:val="center"/>
            </w:pPr>
            <w:r>
              <w:t>New drug only</w:t>
            </w:r>
          </w:p>
          <w:p w:rsidR="00261E68" w:rsidRDefault="00261E68" w:rsidP="004D0653">
            <w:pPr>
              <w:pStyle w:val="ListParagraph"/>
              <w:ind w:left="0"/>
              <w:jc w:val="center"/>
            </w:pPr>
            <w:r>
              <w:t>N=25</w:t>
            </w:r>
          </w:p>
        </w:tc>
        <w:tc>
          <w:tcPr>
            <w:tcW w:w="1440" w:type="dxa"/>
          </w:tcPr>
          <w:p w:rsidR="00256521" w:rsidRDefault="00256521" w:rsidP="004D0653">
            <w:pPr>
              <w:pStyle w:val="ListParagraph"/>
              <w:ind w:left="0"/>
              <w:jc w:val="center"/>
            </w:pPr>
            <w:r>
              <w:t>Topiramate</w:t>
            </w:r>
            <w:r w:rsidR="00CE685C">
              <w:t xml:space="preserve"> only</w:t>
            </w:r>
          </w:p>
          <w:p w:rsidR="00261E68" w:rsidRDefault="00261E68" w:rsidP="004D0653">
            <w:pPr>
              <w:pStyle w:val="ListParagraph"/>
              <w:ind w:left="0"/>
              <w:jc w:val="center"/>
            </w:pPr>
            <w:r>
              <w:t>N=24</w:t>
            </w:r>
          </w:p>
        </w:tc>
        <w:tc>
          <w:tcPr>
            <w:tcW w:w="1548" w:type="dxa"/>
          </w:tcPr>
          <w:p w:rsidR="00256521" w:rsidRDefault="00CE685C" w:rsidP="004D0653">
            <w:pPr>
              <w:pStyle w:val="ListParagraph"/>
              <w:ind w:left="0"/>
              <w:jc w:val="center"/>
            </w:pPr>
            <w:r>
              <w:t>Both drugs</w:t>
            </w:r>
          </w:p>
          <w:p w:rsidR="00261E68" w:rsidRDefault="00261E68" w:rsidP="004D0653">
            <w:pPr>
              <w:pStyle w:val="ListParagraph"/>
              <w:ind w:left="0"/>
              <w:jc w:val="center"/>
            </w:pPr>
          </w:p>
          <w:p w:rsidR="00261E68" w:rsidRDefault="00261E68" w:rsidP="004D0653">
            <w:pPr>
              <w:pStyle w:val="ListParagraph"/>
              <w:ind w:left="0"/>
              <w:jc w:val="center"/>
            </w:pPr>
            <w:r>
              <w:t>N=20</w:t>
            </w:r>
          </w:p>
        </w:tc>
      </w:tr>
      <w:tr w:rsidR="00256521" w:rsidTr="004D0653">
        <w:tc>
          <w:tcPr>
            <w:tcW w:w="3150" w:type="dxa"/>
          </w:tcPr>
          <w:p w:rsidR="00256521" w:rsidRDefault="00256521" w:rsidP="004D0653">
            <w:pPr>
              <w:pStyle w:val="ListParagraph"/>
              <w:ind w:left="0"/>
            </w:pPr>
            <w:r>
              <w:t>HA severity &gt;3 (%)</w:t>
            </w:r>
          </w:p>
        </w:tc>
        <w:tc>
          <w:tcPr>
            <w:tcW w:w="1710" w:type="dxa"/>
          </w:tcPr>
          <w:p w:rsidR="00256521" w:rsidRDefault="00261E68" w:rsidP="004D0653">
            <w:pPr>
              <w:pStyle w:val="ListParagraph"/>
              <w:ind w:left="0"/>
              <w:jc w:val="center"/>
            </w:pPr>
            <w:r>
              <w:t>19</w:t>
            </w:r>
          </w:p>
        </w:tc>
        <w:tc>
          <w:tcPr>
            <w:tcW w:w="1710" w:type="dxa"/>
          </w:tcPr>
          <w:p w:rsidR="00256521" w:rsidRDefault="00261E68" w:rsidP="004D0653">
            <w:pPr>
              <w:pStyle w:val="ListParagraph"/>
              <w:ind w:left="0"/>
              <w:jc w:val="center"/>
            </w:pPr>
            <w:r>
              <w:t>20</w:t>
            </w:r>
          </w:p>
        </w:tc>
        <w:tc>
          <w:tcPr>
            <w:tcW w:w="1440" w:type="dxa"/>
          </w:tcPr>
          <w:p w:rsidR="00256521" w:rsidRDefault="00261E68" w:rsidP="004D0653">
            <w:pPr>
              <w:pStyle w:val="ListParagraph"/>
              <w:ind w:left="0"/>
              <w:jc w:val="center"/>
            </w:pPr>
            <w:r>
              <w:t>21</w:t>
            </w:r>
          </w:p>
        </w:tc>
        <w:tc>
          <w:tcPr>
            <w:tcW w:w="1548" w:type="dxa"/>
          </w:tcPr>
          <w:p w:rsidR="00256521" w:rsidRDefault="00261E68" w:rsidP="004D0653">
            <w:pPr>
              <w:pStyle w:val="ListParagraph"/>
              <w:ind w:left="0"/>
              <w:jc w:val="center"/>
            </w:pPr>
            <w:r>
              <w:t>10</w:t>
            </w:r>
          </w:p>
        </w:tc>
      </w:tr>
      <w:tr w:rsidR="00256521" w:rsidTr="004D0653">
        <w:tc>
          <w:tcPr>
            <w:tcW w:w="3150" w:type="dxa"/>
          </w:tcPr>
          <w:p w:rsidR="00256521" w:rsidRDefault="00256521" w:rsidP="004D0653">
            <w:pPr>
              <w:pStyle w:val="ListParagraph"/>
              <w:ind w:left="0"/>
            </w:pPr>
            <w:r>
              <w:t>Male (%)</w:t>
            </w:r>
          </w:p>
        </w:tc>
        <w:tc>
          <w:tcPr>
            <w:tcW w:w="1710" w:type="dxa"/>
          </w:tcPr>
          <w:p w:rsidR="00256521" w:rsidRDefault="00CE685C" w:rsidP="004D0653">
            <w:pPr>
              <w:pStyle w:val="ListParagraph"/>
              <w:ind w:left="0"/>
              <w:jc w:val="center"/>
            </w:pPr>
            <w:r>
              <w:t>48</w:t>
            </w:r>
          </w:p>
        </w:tc>
        <w:tc>
          <w:tcPr>
            <w:tcW w:w="1710" w:type="dxa"/>
          </w:tcPr>
          <w:p w:rsidR="00256521" w:rsidRDefault="00CE685C" w:rsidP="004D0653">
            <w:pPr>
              <w:pStyle w:val="ListParagraph"/>
              <w:ind w:left="0"/>
              <w:jc w:val="center"/>
            </w:pPr>
            <w:r>
              <w:t>32</w:t>
            </w:r>
          </w:p>
        </w:tc>
        <w:tc>
          <w:tcPr>
            <w:tcW w:w="1440" w:type="dxa"/>
          </w:tcPr>
          <w:p w:rsidR="00256521" w:rsidRDefault="00CE685C" w:rsidP="004D0653">
            <w:pPr>
              <w:pStyle w:val="ListParagraph"/>
              <w:ind w:left="0"/>
              <w:jc w:val="center"/>
            </w:pPr>
            <w:r>
              <w:t>21</w:t>
            </w:r>
          </w:p>
        </w:tc>
        <w:tc>
          <w:tcPr>
            <w:tcW w:w="1548" w:type="dxa"/>
          </w:tcPr>
          <w:p w:rsidR="00256521" w:rsidRDefault="00CE685C" w:rsidP="004D0653">
            <w:pPr>
              <w:pStyle w:val="ListParagraph"/>
              <w:ind w:left="0"/>
              <w:jc w:val="center"/>
            </w:pPr>
            <w:r>
              <w:t>15</w:t>
            </w:r>
          </w:p>
        </w:tc>
      </w:tr>
      <w:tr w:rsidR="00256521" w:rsidTr="004D0653">
        <w:tc>
          <w:tcPr>
            <w:tcW w:w="3150" w:type="dxa"/>
          </w:tcPr>
          <w:p w:rsidR="00256521" w:rsidRDefault="00256521" w:rsidP="004D0653">
            <w:pPr>
              <w:pStyle w:val="ListParagraph"/>
              <w:ind w:left="0"/>
            </w:pPr>
            <w:r>
              <w:t>Race</w:t>
            </w:r>
          </w:p>
        </w:tc>
        <w:tc>
          <w:tcPr>
            <w:tcW w:w="1710" w:type="dxa"/>
          </w:tcPr>
          <w:p w:rsidR="00256521" w:rsidRDefault="00256521" w:rsidP="004D0653">
            <w:pPr>
              <w:pStyle w:val="ListParagraph"/>
              <w:ind w:left="0"/>
              <w:jc w:val="center"/>
            </w:pPr>
          </w:p>
        </w:tc>
        <w:tc>
          <w:tcPr>
            <w:tcW w:w="1710" w:type="dxa"/>
          </w:tcPr>
          <w:p w:rsidR="00256521" w:rsidRDefault="00256521" w:rsidP="004D0653">
            <w:pPr>
              <w:pStyle w:val="ListParagraph"/>
              <w:ind w:left="0"/>
              <w:jc w:val="center"/>
            </w:pPr>
          </w:p>
        </w:tc>
        <w:tc>
          <w:tcPr>
            <w:tcW w:w="1440" w:type="dxa"/>
          </w:tcPr>
          <w:p w:rsidR="00256521" w:rsidRDefault="00256521" w:rsidP="004D0653">
            <w:pPr>
              <w:pStyle w:val="ListParagraph"/>
              <w:ind w:left="0"/>
              <w:jc w:val="center"/>
            </w:pPr>
          </w:p>
        </w:tc>
        <w:tc>
          <w:tcPr>
            <w:tcW w:w="1548" w:type="dxa"/>
          </w:tcPr>
          <w:p w:rsidR="00256521" w:rsidRDefault="00256521" w:rsidP="004D0653">
            <w:pPr>
              <w:pStyle w:val="ListParagraph"/>
              <w:ind w:left="0"/>
              <w:jc w:val="center"/>
            </w:pPr>
          </w:p>
        </w:tc>
      </w:tr>
      <w:tr w:rsidR="00256521" w:rsidTr="004D0653">
        <w:tc>
          <w:tcPr>
            <w:tcW w:w="3150" w:type="dxa"/>
          </w:tcPr>
          <w:p w:rsidR="00256521" w:rsidRDefault="00256521" w:rsidP="004D0653">
            <w:pPr>
              <w:pStyle w:val="ListParagraph"/>
              <w:ind w:left="0"/>
            </w:pPr>
            <w:r>
              <w:t xml:space="preserve">    NHW</w:t>
            </w:r>
          </w:p>
        </w:tc>
        <w:tc>
          <w:tcPr>
            <w:tcW w:w="1710" w:type="dxa"/>
          </w:tcPr>
          <w:p w:rsidR="00256521" w:rsidRDefault="00CE685C" w:rsidP="004D0653">
            <w:pPr>
              <w:pStyle w:val="ListParagraph"/>
              <w:ind w:left="0"/>
              <w:jc w:val="center"/>
            </w:pPr>
            <w:r>
              <w:t>57</w:t>
            </w:r>
          </w:p>
        </w:tc>
        <w:tc>
          <w:tcPr>
            <w:tcW w:w="1710" w:type="dxa"/>
          </w:tcPr>
          <w:p w:rsidR="00256521" w:rsidRDefault="00CE685C" w:rsidP="004D0653">
            <w:pPr>
              <w:pStyle w:val="ListParagraph"/>
              <w:ind w:left="0"/>
              <w:jc w:val="center"/>
            </w:pPr>
            <w:r>
              <w:t>40</w:t>
            </w:r>
          </w:p>
        </w:tc>
        <w:tc>
          <w:tcPr>
            <w:tcW w:w="1440" w:type="dxa"/>
          </w:tcPr>
          <w:p w:rsidR="00256521" w:rsidRDefault="00CE685C" w:rsidP="004D0653">
            <w:pPr>
              <w:pStyle w:val="ListParagraph"/>
              <w:ind w:left="0"/>
              <w:jc w:val="center"/>
            </w:pPr>
            <w:r>
              <w:t>54</w:t>
            </w:r>
          </w:p>
        </w:tc>
        <w:tc>
          <w:tcPr>
            <w:tcW w:w="1548" w:type="dxa"/>
          </w:tcPr>
          <w:p w:rsidR="00256521" w:rsidRDefault="00CE685C" w:rsidP="004D0653">
            <w:pPr>
              <w:pStyle w:val="ListParagraph"/>
              <w:ind w:left="0"/>
              <w:jc w:val="center"/>
            </w:pPr>
            <w:r>
              <w:t>35</w:t>
            </w:r>
          </w:p>
        </w:tc>
      </w:tr>
      <w:tr w:rsidR="00256521" w:rsidTr="004D0653">
        <w:tc>
          <w:tcPr>
            <w:tcW w:w="3150" w:type="dxa"/>
          </w:tcPr>
          <w:p w:rsidR="00256521" w:rsidRDefault="00256521" w:rsidP="004D0653">
            <w:pPr>
              <w:pStyle w:val="ListParagraph"/>
              <w:ind w:left="0"/>
            </w:pPr>
            <w:r>
              <w:t xml:space="preserve">    NHB</w:t>
            </w:r>
          </w:p>
        </w:tc>
        <w:tc>
          <w:tcPr>
            <w:tcW w:w="1710" w:type="dxa"/>
          </w:tcPr>
          <w:p w:rsidR="00256521" w:rsidRDefault="00CE685C" w:rsidP="004D0653">
            <w:pPr>
              <w:pStyle w:val="ListParagraph"/>
              <w:ind w:left="0"/>
              <w:jc w:val="center"/>
            </w:pPr>
            <w:r>
              <w:t>14</w:t>
            </w:r>
          </w:p>
        </w:tc>
        <w:tc>
          <w:tcPr>
            <w:tcW w:w="1710" w:type="dxa"/>
          </w:tcPr>
          <w:p w:rsidR="00256521" w:rsidRDefault="00CE685C" w:rsidP="004D0653">
            <w:pPr>
              <w:pStyle w:val="ListParagraph"/>
              <w:ind w:left="0"/>
              <w:jc w:val="center"/>
            </w:pPr>
            <w:r>
              <w:t>48</w:t>
            </w:r>
          </w:p>
        </w:tc>
        <w:tc>
          <w:tcPr>
            <w:tcW w:w="1440" w:type="dxa"/>
          </w:tcPr>
          <w:p w:rsidR="00256521" w:rsidRDefault="00CE685C" w:rsidP="004D0653">
            <w:pPr>
              <w:pStyle w:val="ListParagraph"/>
              <w:ind w:left="0"/>
              <w:jc w:val="center"/>
            </w:pPr>
            <w:r>
              <w:t>29</w:t>
            </w:r>
          </w:p>
        </w:tc>
        <w:tc>
          <w:tcPr>
            <w:tcW w:w="1548" w:type="dxa"/>
          </w:tcPr>
          <w:p w:rsidR="00256521" w:rsidRDefault="00CE685C" w:rsidP="004D0653">
            <w:pPr>
              <w:pStyle w:val="ListParagraph"/>
              <w:ind w:left="0"/>
              <w:jc w:val="center"/>
            </w:pPr>
            <w:r>
              <w:t>30</w:t>
            </w:r>
          </w:p>
        </w:tc>
      </w:tr>
      <w:tr w:rsidR="00256521" w:rsidTr="004D0653">
        <w:tc>
          <w:tcPr>
            <w:tcW w:w="3150" w:type="dxa"/>
          </w:tcPr>
          <w:p w:rsidR="00256521" w:rsidRDefault="00256521" w:rsidP="004D0653">
            <w:pPr>
              <w:pStyle w:val="ListParagraph"/>
              <w:ind w:left="0"/>
            </w:pPr>
            <w:r>
              <w:t xml:space="preserve">    Other</w:t>
            </w:r>
          </w:p>
        </w:tc>
        <w:tc>
          <w:tcPr>
            <w:tcW w:w="1710" w:type="dxa"/>
          </w:tcPr>
          <w:p w:rsidR="00256521" w:rsidRDefault="00CE685C" w:rsidP="004D0653">
            <w:pPr>
              <w:pStyle w:val="ListParagraph"/>
              <w:ind w:left="0"/>
              <w:jc w:val="center"/>
            </w:pPr>
            <w:r>
              <w:t>29</w:t>
            </w:r>
          </w:p>
        </w:tc>
        <w:tc>
          <w:tcPr>
            <w:tcW w:w="1710" w:type="dxa"/>
          </w:tcPr>
          <w:p w:rsidR="00256521" w:rsidRDefault="00CE685C" w:rsidP="004D0653">
            <w:pPr>
              <w:pStyle w:val="ListParagraph"/>
              <w:ind w:left="0"/>
              <w:jc w:val="center"/>
            </w:pPr>
            <w:r>
              <w:t>12</w:t>
            </w:r>
          </w:p>
        </w:tc>
        <w:tc>
          <w:tcPr>
            <w:tcW w:w="1440" w:type="dxa"/>
          </w:tcPr>
          <w:p w:rsidR="00256521" w:rsidRDefault="00CE685C" w:rsidP="004D0653">
            <w:pPr>
              <w:pStyle w:val="ListParagraph"/>
              <w:ind w:left="0"/>
              <w:jc w:val="center"/>
            </w:pPr>
            <w:r>
              <w:t>17</w:t>
            </w:r>
          </w:p>
        </w:tc>
        <w:tc>
          <w:tcPr>
            <w:tcW w:w="1548" w:type="dxa"/>
          </w:tcPr>
          <w:p w:rsidR="00256521" w:rsidRDefault="00CE685C" w:rsidP="004D0653">
            <w:pPr>
              <w:pStyle w:val="ListParagraph"/>
              <w:ind w:left="0"/>
              <w:jc w:val="center"/>
            </w:pPr>
            <w:r>
              <w:t>35</w:t>
            </w:r>
          </w:p>
        </w:tc>
      </w:tr>
      <w:tr w:rsidR="00256521" w:rsidTr="004D0653">
        <w:tc>
          <w:tcPr>
            <w:tcW w:w="3150" w:type="dxa"/>
          </w:tcPr>
          <w:p w:rsidR="00256521" w:rsidRDefault="00256521" w:rsidP="004D0653">
            <w:pPr>
              <w:pStyle w:val="ListParagraph"/>
              <w:ind w:left="0"/>
            </w:pPr>
            <w:r>
              <w:t>Mean age (SD)</w:t>
            </w:r>
          </w:p>
        </w:tc>
        <w:tc>
          <w:tcPr>
            <w:tcW w:w="1710" w:type="dxa"/>
          </w:tcPr>
          <w:p w:rsidR="00256521" w:rsidRDefault="00261E68" w:rsidP="004D0653">
            <w:pPr>
              <w:pStyle w:val="ListParagraph"/>
              <w:ind w:left="0"/>
              <w:jc w:val="center"/>
            </w:pPr>
            <w:r>
              <w:t>33.7 (9.8)</w:t>
            </w:r>
          </w:p>
        </w:tc>
        <w:tc>
          <w:tcPr>
            <w:tcW w:w="1710" w:type="dxa"/>
          </w:tcPr>
          <w:p w:rsidR="00256521" w:rsidRDefault="00261E68" w:rsidP="004D0653">
            <w:pPr>
              <w:pStyle w:val="ListParagraph"/>
              <w:ind w:left="0"/>
              <w:jc w:val="center"/>
            </w:pPr>
            <w:r>
              <w:t>36.7 (9.7)</w:t>
            </w:r>
          </w:p>
        </w:tc>
        <w:tc>
          <w:tcPr>
            <w:tcW w:w="1440" w:type="dxa"/>
          </w:tcPr>
          <w:p w:rsidR="00256521" w:rsidRDefault="00261E68" w:rsidP="004D0653">
            <w:pPr>
              <w:pStyle w:val="ListParagraph"/>
              <w:ind w:left="0"/>
              <w:jc w:val="center"/>
            </w:pPr>
            <w:r>
              <w:t>38.2 (7.6)</w:t>
            </w:r>
          </w:p>
        </w:tc>
        <w:tc>
          <w:tcPr>
            <w:tcW w:w="1548" w:type="dxa"/>
          </w:tcPr>
          <w:p w:rsidR="00256521" w:rsidRDefault="00261E68" w:rsidP="004D0653">
            <w:pPr>
              <w:pStyle w:val="ListParagraph"/>
              <w:ind w:left="0"/>
              <w:jc w:val="center"/>
            </w:pPr>
            <w:r>
              <w:t>36.2 (9.1)</w:t>
            </w:r>
          </w:p>
        </w:tc>
      </w:tr>
      <w:tr w:rsidR="00256521" w:rsidTr="004D0653">
        <w:tc>
          <w:tcPr>
            <w:tcW w:w="3150" w:type="dxa"/>
          </w:tcPr>
          <w:p w:rsidR="00256521" w:rsidRDefault="00256521" w:rsidP="004D0653">
            <w:pPr>
              <w:pStyle w:val="ListParagraph"/>
              <w:ind w:left="0"/>
            </w:pPr>
            <w:r>
              <w:t>Mean baseline HA freq. (SD)</w:t>
            </w:r>
          </w:p>
        </w:tc>
        <w:tc>
          <w:tcPr>
            <w:tcW w:w="1710" w:type="dxa"/>
          </w:tcPr>
          <w:p w:rsidR="00256521" w:rsidRDefault="00261E68" w:rsidP="004D0653">
            <w:pPr>
              <w:pStyle w:val="ListParagraph"/>
              <w:ind w:left="0"/>
              <w:jc w:val="center"/>
            </w:pPr>
            <w:r>
              <w:t>22.2 (8.2)</w:t>
            </w:r>
          </w:p>
        </w:tc>
        <w:tc>
          <w:tcPr>
            <w:tcW w:w="1710" w:type="dxa"/>
          </w:tcPr>
          <w:p w:rsidR="00256521" w:rsidRDefault="00261E68" w:rsidP="004D0653">
            <w:pPr>
              <w:pStyle w:val="ListParagraph"/>
              <w:ind w:left="0"/>
              <w:jc w:val="center"/>
            </w:pPr>
            <w:r>
              <w:t>22.2 (8.2)</w:t>
            </w:r>
          </w:p>
        </w:tc>
        <w:tc>
          <w:tcPr>
            <w:tcW w:w="1440" w:type="dxa"/>
          </w:tcPr>
          <w:p w:rsidR="00256521" w:rsidRDefault="00261E68" w:rsidP="004D0653">
            <w:pPr>
              <w:pStyle w:val="ListParagraph"/>
              <w:ind w:left="0"/>
              <w:jc w:val="center"/>
            </w:pPr>
            <w:r>
              <w:t>20.5 (7.9)</w:t>
            </w:r>
          </w:p>
        </w:tc>
        <w:tc>
          <w:tcPr>
            <w:tcW w:w="1548" w:type="dxa"/>
          </w:tcPr>
          <w:p w:rsidR="00256521" w:rsidRDefault="00261E68" w:rsidP="004D0653">
            <w:pPr>
              <w:pStyle w:val="ListParagraph"/>
              <w:ind w:left="0"/>
              <w:jc w:val="center"/>
            </w:pPr>
            <w:r>
              <w:t>20.4 (4.6)</w:t>
            </w:r>
          </w:p>
        </w:tc>
      </w:tr>
      <w:tr w:rsidR="00256521" w:rsidTr="004D0653">
        <w:tc>
          <w:tcPr>
            <w:tcW w:w="3150" w:type="dxa"/>
          </w:tcPr>
          <w:p w:rsidR="00256521" w:rsidRDefault="00256521" w:rsidP="004D0653">
            <w:pPr>
              <w:pStyle w:val="ListParagraph"/>
              <w:ind w:left="0"/>
            </w:pPr>
            <w:r>
              <w:t>Mean baseline HIT-6 (SD)</w:t>
            </w:r>
          </w:p>
        </w:tc>
        <w:tc>
          <w:tcPr>
            <w:tcW w:w="1710" w:type="dxa"/>
          </w:tcPr>
          <w:p w:rsidR="00256521" w:rsidRDefault="00261E68" w:rsidP="004D0653">
            <w:pPr>
              <w:pStyle w:val="ListParagraph"/>
              <w:ind w:left="0"/>
              <w:jc w:val="center"/>
            </w:pPr>
            <w:r>
              <w:t>61.7 (4.0)</w:t>
            </w:r>
          </w:p>
        </w:tc>
        <w:tc>
          <w:tcPr>
            <w:tcW w:w="1710" w:type="dxa"/>
          </w:tcPr>
          <w:p w:rsidR="00256521" w:rsidRDefault="00261E68" w:rsidP="004D0653">
            <w:pPr>
              <w:pStyle w:val="ListParagraph"/>
              <w:ind w:left="0"/>
              <w:jc w:val="center"/>
            </w:pPr>
            <w:r>
              <w:t>61.6 (6.0)</w:t>
            </w:r>
          </w:p>
        </w:tc>
        <w:tc>
          <w:tcPr>
            <w:tcW w:w="1440" w:type="dxa"/>
          </w:tcPr>
          <w:p w:rsidR="00256521" w:rsidRDefault="00261E68" w:rsidP="004D0653">
            <w:pPr>
              <w:pStyle w:val="ListParagraph"/>
              <w:ind w:left="0"/>
              <w:jc w:val="center"/>
            </w:pPr>
            <w:r>
              <w:t>62.7 (4.1)</w:t>
            </w:r>
          </w:p>
        </w:tc>
        <w:tc>
          <w:tcPr>
            <w:tcW w:w="1548" w:type="dxa"/>
          </w:tcPr>
          <w:p w:rsidR="00256521" w:rsidRDefault="00261E68" w:rsidP="004D0653">
            <w:pPr>
              <w:pStyle w:val="ListParagraph"/>
              <w:ind w:left="0"/>
              <w:jc w:val="center"/>
            </w:pPr>
            <w:r>
              <w:t>61.6 (4.6)</w:t>
            </w:r>
          </w:p>
        </w:tc>
      </w:tr>
    </w:tbl>
    <w:p w:rsidR="00826A74" w:rsidRPr="00826A74" w:rsidRDefault="00826A74" w:rsidP="00256521">
      <w:pPr>
        <w:rPr>
          <w:rFonts w:asciiTheme="majorHAnsi" w:hAnsiTheme="majorHAnsi"/>
        </w:rPr>
      </w:pPr>
      <w:r w:rsidRPr="00826A74">
        <w:rPr>
          <w:rFonts w:asciiTheme="majorHAnsi" w:hAnsiTheme="majorHAnsi"/>
        </w:rPr>
        <w:t>In both tables, we see that the distribution across race is a bit off.  That may mean nothing, but we might consider controlling for race in our analyses.</w:t>
      </w:r>
    </w:p>
    <w:p w:rsidR="00CA4B1B" w:rsidRDefault="00CA4B1B" w:rsidP="00CA4B1B">
      <w:pPr>
        <w:pStyle w:val="ListParagraph"/>
        <w:numPr>
          <w:ilvl w:val="0"/>
          <w:numId w:val="3"/>
        </w:numPr>
      </w:pPr>
      <w:r w:rsidRPr="000F78A1">
        <w:t xml:space="preserve">Analysis of data at two time points often relies on methods that control for the correlation between the pre-measure and the </w:t>
      </w:r>
      <w:r w:rsidR="000F78A1">
        <w:t>post-</w:t>
      </w:r>
      <w:r w:rsidRPr="000F78A1">
        <w:t>measure.  What is the magnitude of the correlation coeff</w:t>
      </w:r>
      <w:r w:rsidR="0015060A" w:rsidRPr="000F78A1">
        <w:t>icient between the pre-and post-</w:t>
      </w:r>
      <w:r w:rsidRPr="000F78A1">
        <w:t>measure</w:t>
      </w:r>
      <w:r w:rsidR="0015060A" w:rsidRPr="000F78A1">
        <w:t xml:space="preserve"> for the HIT-6?  Is i</w:t>
      </w:r>
      <w:r w:rsidR="000F78A1">
        <w:t>t</w:t>
      </w:r>
      <w:r w:rsidR="0015060A" w:rsidRPr="000F78A1">
        <w:t xml:space="preserve"> statistically significant at the 0.05 alpha level?</w:t>
      </w:r>
    </w:p>
    <w:p w:rsidR="00826A74" w:rsidRDefault="00826A74" w:rsidP="00826A74">
      <w:pPr>
        <w:pStyle w:val="ListParagraph"/>
      </w:pPr>
    </w:p>
    <w:p w:rsidR="00E26E28" w:rsidRDefault="00E26E28" w:rsidP="00E26E28">
      <w:pPr>
        <w:pStyle w:val="ListParagraph"/>
      </w:pPr>
      <w:r>
        <w:t>Here the correlation is smaller than you might expect from a pre-post measure at 0.26 (usually 0.5 or higher).  This correlation was statistically significant at the 0.05 level.  You need this information for doing sample size estimates for a repeated measures study.  It is something your statistician may ask you to find.</w:t>
      </w:r>
    </w:p>
    <w:p w:rsidR="00E26E28" w:rsidRPr="000F78A1" w:rsidRDefault="00E26E28" w:rsidP="00E26E28">
      <w:pPr>
        <w:pStyle w:val="ListParagraph"/>
      </w:pPr>
    </w:p>
    <w:p w:rsidR="0015060A" w:rsidRDefault="0015060A" w:rsidP="00CA4B1B">
      <w:pPr>
        <w:pStyle w:val="ListParagraph"/>
        <w:numPr>
          <w:ilvl w:val="0"/>
          <w:numId w:val="3"/>
        </w:numPr>
      </w:pPr>
      <w:r w:rsidRPr="000F78A1">
        <w:t xml:space="preserve">How large is the pre-post difference in </w:t>
      </w:r>
      <w:r w:rsidR="00291224">
        <w:t>headache frequency</w:t>
      </w:r>
      <w:r w:rsidR="00261E68">
        <w:t xml:space="preserve"> (and HIT-6)</w:t>
      </w:r>
      <w:r w:rsidRPr="000F78A1">
        <w:t xml:space="preserve"> for the active treatment group?  For the control group?  Remember to include a confidence interval with your answer.</w:t>
      </w:r>
    </w:p>
    <w:p w:rsidR="00A34DB0" w:rsidRDefault="00826A74" w:rsidP="00A34DB0">
      <w:pPr>
        <w:pStyle w:val="ListParagraph"/>
      </w:pPr>
      <w:r>
        <w:t>Let’s look at this for both of the continuous outcome variables:</w:t>
      </w:r>
    </w:p>
    <w:p w:rsidR="00826A74" w:rsidRPr="00A34DB0" w:rsidRDefault="00826A74" w:rsidP="00A34DB0">
      <w:pPr>
        <w:pStyle w:val="ListParagraph"/>
        <w:rPr>
          <w:b/>
        </w:rPr>
      </w:pPr>
      <w:r w:rsidRPr="00A34DB0">
        <w:rPr>
          <w:b/>
        </w:rPr>
        <w:t>Table 2.  Clinical Outcomes by New Drug</w:t>
      </w:r>
    </w:p>
    <w:tbl>
      <w:tblPr>
        <w:tblStyle w:val="TableGrid"/>
        <w:tblW w:w="10350" w:type="dxa"/>
        <w:tblInd w:w="-252" w:type="dxa"/>
        <w:tblLook w:val="04A0" w:firstRow="1" w:lastRow="0" w:firstColumn="1" w:lastColumn="0" w:noHBand="0" w:noVBand="1"/>
      </w:tblPr>
      <w:tblGrid>
        <w:gridCol w:w="4230"/>
        <w:gridCol w:w="2070"/>
        <w:gridCol w:w="1800"/>
        <w:gridCol w:w="2250"/>
      </w:tblGrid>
      <w:tr w:rsidR="00826A74" w:rsidTr="00BC6487">
        <w:tc>
          <w:tcPr>
            <w:tcW w:w="4230" w:type="dxa"/>
          </w:tcPr>
          <w:p w:rsidR="00826A74" w:rsidRDefault="00826A74" w:rsidP="00826A74">
            <w:pPr>
              <w:pStyle w:val="ListParagraph"/>
              <w:ind w:left="0"/>
            </w:pPr>
          </w:p>
        </w:tc>
        <w:tc>
          <w:tcPr>
            <w:tcW w:w="2070" w:type="dxa"/>
          </w:tcPr>
          <w:p w:rsidR="00826A74" w:rsidRDefault="00826A74" w:rsidP="00826A74">
            <w:pPr>
              <w:pStyle w:val="ListParagraph"/>
              <w:ind w:left="0"/>
              <w:jc w:val="center"/>
            </w:pPr>
            <w:r>
              <w:t>New Drug</w:t>
            </w:r>
          </w:p>
          <w:p w:rsidR="00CD3A0D" w:rsidRDefault="00CD3A0D" w:rsidP="00826A74">
            <w:pPr>
              <w:pStyle w:val="ListParagraph"/>
              <w:ind w:left="0"/>
              <w:jc w:val="center"/>
            </w:pPr>
            <w:r>
              <w:t>N=45</w:t>
            </w:r>
          </w:p>
        </w:tc>
        <w:tc>
          <w:tcPr>
            <w:tcW w:w="1800" w:type="dxa"/>
          </w:tcPr>
          <w:p w:rsidR="00826A74" w:rsidRDefault="00826A74" w:rsidP="00826A74">
            <w:pPr>
              <w:pStyle w:val="ListParagraph"/>
              <w:ind w:left="0"/>
              <w:jc w:val="center"/>
            </w:pPr>
            <w:r>
              <w:t>Placebo</w:t>
            </w:r>
          </w:p>
          <w:p w:rsidR="00CD3A0D" w:rsidRDefault="00CD3A0D" w:rsidP="00826A74">
            <w:pPr>
              <w:pStyle w:val="ListParagraph"/>
              <w:ind w:left="0"/>
              <w:jc w:val="center"/>
            </w:pPr>
            <w:r>
              <w:t>N=45</w:t>
            </w:r>
          </w:p>
        </w:tc>
        <w:tc>
          <w:tcPr>
            <w:tcW w:w="2250" w:type="dxa"/>
          </w:tcPr>
          <w:p w:rsidR="00826A74" w:rsidRDefault="00826A74" w:rsidP="00826A74">
            <w:pPr>
              <w:pStyle w:val="ListParagraph"/>
              <w:ind w:left="0"/>
              <w:jc w:val="center"/>
            </w:pPr>
            <w:r>
              <w:t>Between group</w:t>
            </w:r>
          </w:p>
        </w:tc>
      </w:tr>
      <w:tr w:rsidR="00A34DB0" w:rsidTr="00BC6487">
        <w:tc>
          <w:tcPr>
            <w:tcW w:w="4230" w:type="dxa"/>
          </w:tcPr>
          <w:p w:rsidR="00A34DB0" w:rsidRDefault="00A34DB0" w:rsidP="00BC6487">
            <w:pPr>
              <w:pStyle w:val="ListParagraph"/>
              <w:ind w:left="0"/>
            </w:pPr>
            <w:r>
              <w:t>Mean Headache frequency  pre (SD)</w:t>
            </w:r>
          </w:p>
        </w:tc>
        <w:tc>
          <w:tcPr>
            <w:tcW w:w="2070" w:type="dxa"/>
          </w:tcPr>
          <w:p w:rsidR="00A34DB0" w:rsidRDefault="00A34DB0" w:rsidP="004D0653">
            <w:pPr>
              <w:pStyle w:val="ListParagraph"/>
              <w:ind w:left="0"/>
              <w:jc w:val="center"/>
            </w:pPr>
            <w:r>
              <w:t>21.3 (8.0)</w:t>
            </w:r>
          </w:p>
        </w:tc>
        <w:tc>
          <w:tcPr>
            <w:tcW w:w="1800" w:type="dxa"/>
          </w:tcPr>
          <w:p w:rsidR="00A34DB0" w:rsidRDefault="00A34DB0" w:rsidP="004D0653">
            <w:pPr>
              <w:pStyle w:val="ListParagraph"/>
              <w:ind w:left="0"/>
              <w:jc w:val="center"/>
            </w:pPr>
            <w:r>
              <w:t>21.4 (7.7)</w:t>
            </w:r>
          </w:p>
        </w:tc>
        <w:tc>
          <w:tcPr>
            <w:tcW w:w="2250" w:type="dxa"/>
          </w:tcPr>
          <w:p w:rsidR="00A34DB0" w:rsidRDefault="00A34DB0" w:rsidP="00826A74">
            <w:pPr>
              <w:pStyle w:val="ListParagraph"/>
              <w:ind w:left="0"/>
              <w:jc w:val="center"/>
            </w:pPr>
          </w:p>
        </w:tc>
      </w:tr>
      <w:tr w:rsidR="00A34DB0" w:rsidTr="00BC6487">
        <w:tc>
          <w:tcPr>
            <w:tcW w:w="4230" w:type="dxa"/>
          </w:tcPr>
          <w:p w:rsidR="00A34DB0" w:rsidRDefault="00A34DB0" w:rsidP="00BC6487">
            <w:pPr>
              <w:pStyle w:val="ListParagraph"/>
              <w:ind w:left="0"/>
            </w:pPr>
            <w:r>
              <w:t>Mean Headache frequency post (SD)</w:t>
            </w:r>
          </w:p>
        </w:tc>
        <w:tc>
          <w:tcPr>
            <w:tcW w:w="2070" w:type="dxa"/>
          </w:tcPr>
          <w:p w:rsidR="00A34DB0" w:rsidRDefault="00A34DB0" w:rsidP="00826A74">
            <w:pPr>
              <w:pStyle w:val="ListParagraph"/>
              <w:ind w:left="0"/>
              <w:jc w:val="center"/>
            </w:pPr>
            <w:r>
              <w:t>21.1 (8.0)</w:t>
            </w:r>
          </w:p>
        </w:tc>
        <w:tc>
          <w:tcPr>
            <w:tcW w:w="1800" w:type="dxa"/>
          </w:tcPr>
          <w:p w:rsidR="00A34DB0" w:rsidRDefault="00A34DB0" w:rsidP="00826A74">
            <w:pPr>
              <w:pStyle w:val="ListParagraph"/>
              <w:ind w:left="0"/>
              <w:jc w:val="center"/>
            </w:pPr>
            <w:r>
              <w:t>22.0 (7.4)</w:t>
            </w:r>
          </w:p>
        </w:tc>
        <w:tc>
          <w:tcPr>
            <w:tcW w:w="2250" w:type="dxa"/>
          </w:tcPr>
          <w:p w:rsidR="00A34DB0" w:rsidRDefault="00A34DB0" w:rsidP="00826A74">
            <w:pPr>
              <w:pStyle w:val="ListParagraph"/>
              <w:ind w:left="0"/>
              <w:jc w:val="center"/>
            </w:pPr>
          </w:p>
        </w:tc>
      </w:tr>
      <w:tr w:rsidR="00A34DB0" w:rsidTr="00BC6487">
        <w:tc>
          <w:tcPr>
            <w:tcW w:w="4230" w:type="dxa"/>
          </w:tcPr>
          <w:p w:rsidR="00A34DB0" w:rsidRDefault="00A34DB0" w:rsidP="004D0653">
            <w:pPr>
              <w:pStyle w:val="ListParagraph"/>
              <w:ind w:left="0"/>
            </w:pPr>
            <w:r>
              <w:t>Difference (95% CI)</w:t>
            </w:r>
          </w:p>
        </w:tc>
        <w:tc>
          <w:tcPr>
            <w:tcW w:w="2070" w:type="dxa"/>
          </w:tcPr>
          <w:p w:rsidR="00A34DB0" w:rsidRDefault="00A34DB0" w:rsidP="00CD3A0D">
            <w:pPr>
              <w:pStyle w:val="ListParagraph"/>
              <w:ind w:left="0"/>
              <w:jc w:val="center"/>
            </w:pPr>
            <w:r>
              <w:t>0.27 (-1.8, 2.3)</w:t>
            </w:r>
          </w:p>
        </w:tc>
        <w:tc>
          <w:tcPr>
            <w:tcW w:w="1800" w:type="dxa"/>
          </w:tcPr>
          <w:p w:rsidR="00A34DB0" w:rsidRDefault="00A34DB0" w:rsidP="00826A74">
            <w:pPr>
              <w:pStyle w:val="ListParagraph"/>
              <w:ind w:left="0"/>
              <w:jc w:val="center"/>
            </w:pPr>
            <w:r>
              <w:t>-0.48 (-2.4, 1.5)</w:t>
            </w:r>
          </w:p>
        </w:tc>
        <w:tc>
          <w:tcPr>
            <w:tcW w:w="2250" w:type="dxa"/>
          </w:tcPr>
          <w:p w:rsidR="00A34DB0" w:rsidRDefault="00A34DB0" w:rsidP="00826A74">
            <w:pPr>
              <w:pStyle w:val="ListParagraph"/>
              <w:ind w:left="0"/>
              <w:jc w:val="center"/>
            </w:pPr>
            <w:r>
              <w:t>0.91 (-2.3, 4.2)</w:t>
            </w:r>
          </w:p>
        </w:tc>
      </w:tr>
      <w:tr w:rsidR="00A34DB0" w:rsidTr="00BC6487">
        <w:tc>
          <w:tcPr>
            <w:tcW w:w="4230" w:type="dxa"/>
          </w:tcPr>
          <w:p w:rsidR="00A34DB0" w:rsidRDefault="00A34DB0" w:rsidP="00826A74">
            <w:pPr>
              <w:pStyle w:val="ListParagraph"/>
              <w:ind w:left="0"/>
            </w:pPr>
          </w:p>
        </w:tc>
        <w:tc>
          <w:tcPr>
            <w:tcW w:w="2070" w:type="dxa"/>
          </w:tcPr>
          <w:p w:rsidR="00A34DB0" w:rsidRDefault="00A34DB0" w:rsidP="00826A74">
            <w:pPr>
              <w:pStyle w:val="ListParagraph"/>
              <w:ind w:left="0"/>
              <w:jc w:val="center"/>
            </w:pPr>
          </w:p>
        </w:tc>
        <w:tc>
          <w:tcPr>
            <w:tcW w:w="1800" w:type="dxa"/>
          </w:tcPr>
          <w:p w:rsidR="00A34DB0" w:rsidRDefault="00A34DB0" w:rsidP="00826A74">
            <w:pPr>
              <w:pStyle w:val="ListParagraph"/>
              <w:ind w:left="0"/>
              <w:jc w:val="center"/>
            </w:pPr>
          </w:p>
        </w:tc>
        <w:tc>
          <w:tcPr>
            <w:tcW w:w="2250" w:type="dxa"/>
          </w:tcPr>
          <w:p w:rsidR="00A34DB0" w:rsidRDefault="00A34DB0" w:rsidP="00826A74">
            <w:pPr>
              <w:pStyle w:val="ListParagraph"/>
              <w:ind w:left="0"/>
              <w:jc w:val="center"/>
            </w:pPr>
          </w:p>
        </w:tc>
      </w:tr>
      <w:tr w:rsidR="00A34DB0" w:rsidTr="00BC6487">
        <w:tc>
          <w:tcPr>
            <w:tcW w:w="4230" w:type="dxa"/>
          </w:tcPr>
          <w:p w:rsidR="00A34DB0" w:rsidRDefault="00A34DB0" w:rsidP="00826A74">
            <w:pPr>
              <w:pStyle w:val="ListParagraph"/>
              <w:ind w:left="0"/>
            </w:pPr>
            <w:r>
              <w:t>Mean HIT-6 pre (SD)</w:t>
            </w:r>
          </w:p>
        </w:tc>
        <w:tc>
          <w:tcPr>
            <w:tcW w:w="2070" w:type="dxa"/>
          </w:tcPr>
          <w:p w:rsidR="00A34DB0" w:rsidRDefault="00A34DB0" w:rsidP="004D0653">
            <w:pPr>
              <w:pStyle w:val="ListParagraph"/>
              <w:ind w:left="0"/>
              <w:jc w:val="center"/>
            </w:pPr>
            <w:r>
              <w:t>61.6 (5.3)</w:t>
            </w:r>
          </w:p>
        </w:tc>
        <w:tc>
          <w:tcPr>
            <w:tcW w:w="1800" w:type="dxa"/>
          </w:tcPr>
          <w:p w:rsidR="00A34DB0" w:rsidRDefault="00A34DB0" w:rsidP="004D0653">
            <w:pPr>
              <w:pStyle w:val="ListParagraph"/>
              <w:ind w:left="0"/>
              <w:jc w:val="center"/>
            </w:pPr>
            <w:r>
              <w:t>62.2 (4.0)</w:t>
            </w:r>
          </w:p>
        </w:tc>
        <w:tc>
          <w:tcPr>
            <w:tcW w:w="2250" w:type="dxa"/>
          </w:tcPr>
          <w:p w:rsidR="00A34DB0" w:rsidRDefault="00A34DB0" w:rsidP="00826A74">
            <w:pPr>
              <w:pStyle w:val="ListParagraph"/>
              <w:ind w:left="0"/>
              <w:jc w:val="center"/>
            </w:pPr>
          </w:p>
        </w:tc>
      </w:tr>
      <w:tr w:rsidR="00A34DB0" w:rsidTr="00BC6487">
        <w:tc>
          <w:tcPr>
            <w:tcW w:w="4230" w:type="dxa"/>
          </w:tcPr>
          <w:p w:rsidR="00A34DB0" w:rsidRDefault="00A34DB0" w:rsidP="004D0653">
            <w:pPr>
              <w:pStyle w:val="ListParagraph"/>
              <w:ind w:left="0"/>
            </w:pPr>
            <w:r>
              <w:t>Mean HIT-6 post (SD)</w:t>
            </w:r>
          </w:p>
        </w:tc>
        <w:tc>
          <w:tcPr>
            <w:tcW w:w="2070" w:type="dxa"/>
          </w:tcPr>
          <w:p w:rsidR="00A34DB0" w:rsidRDefault="00A34DB0" w:rsidP="004D0653">
            <w:pPr>
              <w:pStyle w:val="ListParagraph"/>
              <w:ind w:left="0"/>
              <w:jc w:val="center"/>
            </w:pPr>
            <w:r>
              <w:t>52.5 (6.9)</w:t>
            </w:r>
          </w:p>
        </w:tc>
        <w:tc>
          <w:tcPr>
            <w:tcW w:w="1800" w:type="dxa"/>
          </w:tcPr>
          <w:p w:rsidR="00A34DB0" w:rsidRDefault="00A34DB0" w:rsidP="004D0653">
            <w:pPr>
              <w:pStyle w:val="ListParagraph"/>
              <w:ind w:left="0"/>
              <w:jc w:val="center"/>
            </w:pPr>
            <w:r>
              <w:t>59.2 (6.1)</w:t>
            </w:r>
          </w:p>
        </w:tc>
        <w:tc>
          <w:tcPr>
            <w:tcW w:w="2250" w:type="dxa"/>
          </w:tcPr>
          <w:p w:rsidR="00A34DB0" w:rsidRDefault="00A34DB0" w:rsidP="00826A74">
            <w:pPr>
              <w:pStyle w:val="ListParagraph"/>
              <w:ind w:left="0"/>
              <w:jc w:val="center"/>
            </w:pPr>
          </w:p>
        </w:tc>
      </w:tr>
      <w:tr w:rsidR="00A34DB0" w:rsidTr="00BC6487">
        <w:tc>
          <w:tcPr>
            <w:tcW w:w="4230" w:type="dxa"/>
          </w:tcPr>
          <w:p w:rsidR="00A34DB0" w:rsidRDefault="00A34DB0" w:rsidP="004D0653">
            <w:pPr>
              <w:pStyle w:val="ListParagraph"/>
              <w:ind w:left="0"/>
            </w:pPr>
            <w:r>
              <w:t>Difference (95% CI)</w:t>
            </w:r>
          </w:p>
        </w:tc>
        <w:tc>
          <w:tcPr>
            <w:tcW w:w="2070" w:type="dxa"/>
          </w:tcPr>
          <w:p w:rsidR="00A34DB0" w:rsidRDefault="00A34DB0" w:rsidP="004D0653">
            <w:pPr>
              <w:pStyle w:val="ListParagraph"/>
              <w:ind w:left="0"/>
              <w:jc w:val="center"/>
            </w:pPr>
            <w:r>
              <w:t>-9.1 (-11.7, -6.5)</w:t>
            </w:r>
          </w:p>
        </w:tc>
        <w:tc>
          <w:tcPr>
            <w:tcW w:w="1800" w:type="dxa"/>
          </w:tcPr>
          <w:p w:rsidR="00A34DB0" w:rsidRDefault="00A34DB0" w:rsidP="004D0653">
            <w:pPr>
              <w:pStyle w:val="ListParagraph"/>
              <w:ind w:left="0"/>
              <w:jc w:val="center"/>
            </w:pPr>
            <w:r>
              <w:t>-3.0 (-4.4, -1.5)</w:t>
            </w:r>
          </w:p>
        </w:tc>
        <w:tc>
          <w:tcPr>
            <w:tcW w:w="2250" w:type="dxa"/>
          </w:tcPr>
          <w:p w:rsidR="00A34DB0" w:rsidRDefault="00A34DB0" w:rsidP="00826A74">
            <w:pPr>
              <w:pStyle w:val="ListParagraph"/>
              <w:ind w:left="0"/>
              <w:jc w:val="center"/>
            </w:pPr>
            <w:r>
              <w:t>6.7 (4.0, 9.5)</w:t>
            </w:r>
          </w:p>
        </w:tc>
      </w:tr>
    </w:tbl>
    <w:p w:rsidR="007B67F7" w:rsidRDefault="00BC6487" w:rsidP="00826A74">
      <w:pPr>
        <w:pStyle w:val="ListParagraph"/>
      </w:pPr>
      <w:r>
        <w:t>Because of some violations of normality and the relatively modest sample size, you could consider using nonparametric tests for headache frequency.</w:t>
      </w:r>
    </w:p>
    <w:p w:rsidR="007B67F7" w:rsidRPr="000F78A1" w:rsidRDefault="007B67F7" w:rsidP="00826A74">
      <w:pPr>
        <w:pStyle w:val="ListParagraph"/>
      </w:pPr>
    </w:p>
    <w:p w:rsidR="00CA4B1B" w:rsidRDefault="0015060A" w:rsidP="00CA4B1B">
      <w:pPr>
        <w:pStyle w:val="ListParagraph"/>
        <w:numPr>
          <w:ilvl w:val="0"/>
          <w:numId w:val="3"/>
        </w:numPr>
      </w:pPr>
      <w:r w:rsidRPr="000F78A1">
        <w:t>Examine an independent sample t-test for the between-group mean difference for the HIT-6 post-test.  How does this between-group difference compare with a simple linear regression using the HIT-6-post as the endpoint and group assignment (</w:t>
      </w:r>
      <w:proofErr w:type="spellStart"/>
      <w:r w:rsidRPr="000F78A1">
        <w:rPr>
          <w:i/>
        </w:rPr>
        <w:t>newrx</w:t>
      </w:r>
      <w:proofErr w:type="spellEnd"/>
      <w:r w:rsidRPr="000F78A1">
        <w:t>) as the independent variable?</w:t>
      </w:r>
    </w:p>
    <w:p w:rsidR="00826A74" w:rsidRDefault="00826A74" w:rsidP="00826A74">
      <w:pPr>
        <w:pStyle w:val="ListParagraph"/>
      </w:pPr>
    </w:p>
    <w:p w:rsidR="00826A74" w:rsidRPr="00826A74" w:rsidRDefault="00826A74" w:rsidP="00826A74">
      <w:pPr>
        <w:ind w:left="720"/>
        <w:rPr>
          <w:rFonts w:asciiTheme="majorHAnsi" w:hAnsiTheme="majorHAnsi"/>
          <w:sz w:val="24"/>
        </w:rPr>
      </w:pPr>
      <w:r w:rsidRPr="00826A74">
        <w:rPr>
          <w:rFonts w:asciiTheme="majorHAnsi" w:hAnsiTheme="majorHAnsi"/>
          <w:sz w:val="24"/>
        </w:rPr>
        <w:t>You get exactly the same answer.  The idea here was to show you that the two statistical procedures are related to one another.</w:t>
      </w:r>
      <w:r>
        <w:rPr>
          <w:rFonts w:asciiTheme="majorHAnsi" w:hAnsiTheme="majorHAnsi"/>
          <w:sz w:val="24"/>
        </w:rPr>
        <w:t xml:space="preserve">  See the between-group stats in Table 2.</w:t>
      </w:r>
    </w:p>
    <w:p w:rsidR="0015060A" w:rsidRDefault="0015060A" w:rsidP="00CA4B1B">
      <w:pPr>
        <w:pStyle w:val="ListParagraph"/>
        <w:numPr>
          <w:ilvl w:val="0"/>
          <w:numId w:val="3"/>
        </w:numPr>
      </w:pPr>
      <w:r w:rsidRPr="000F78A1">
        <w:t xml:space="preserve">Some of the individuals in the trial were </w:t>
      </w:r>
      <w:r w:rsidR="000F78A1" w:rsidRPr="000F78A1">
        <w:t>randomized to</w:t>
      </w:r>
      <w:r w:rsidRPr="000F78A1">
        <w:t xml:space="preserve"> another preventative medication for their migraines.  Please evaluate </w:t>
      </w:r>
      <w:r w:rsidR="000F78A1" w:rsidRPr="000F78A1">
        <w:t>the main effects of the use of each medication plus thei</w:t>
      </w:r>
      <w:r w:rsidR="00291224">
        <w:t xml:space="preserve">r interaction </w:t>
      </w:r>
      <w:r w:rsidR="00F90F59">
        <w:t xml:space="preserve">on the </w:t>
      </w:r>
      <w:r w:rsidR="00F90F59" w:rsidRPr="00F90F59">
        <w:rPr>
          <w:i/>
        </w:rPr>
        <w:t>change in the HIT-6</w:t>
      </w:r>
      <w:r w:rsidR="00F90F59">
        <w:t xml:space="preserve"> </w:t>
      </w:r>
      <w:r w:rsidR="00291224">
        <w:t xml:space="preserve">using a factorial (2-way) </w:t>
      </w:r>
      <w:r w:rsidR="000F78A1" w:rsidRPr="000F78A1">
        <w:t>ANOVA.</w:t>
      </w:r>
    </w:p>
    <w:p w:rsidR="005331F1" w:rsidRDefault="005331F1" w:rsidP="005331F1">
      <w:pPr>
        <w:pStyle w:val="ListParagraph"/>
      </w:pPr>
    </w:p>
    <w:p w:rsidR="00A34DB0" w:rsidRPr="00967520" w:rsidRDefault="005331F1" w:rsidP="005331F1">
      <w:pPr>
        <w:ind w:left="720"/>
        <w:rPr>
          <w:rFonts w:asciiTheme="majorHAnsi" w:hAnsiTheme="majorHAnsi"/>
          <w:sz w:val="24"/>
        </w:rPr>
      </w:pPr>
      <w:r w:rsidRPr="00967520">
        <w:rPr>
          <w:rFonts w:asciiTheme="majorHAnsi" w:hAnsiTheme="majorHAnsi"/>
          <w:sz w:val="24"/>
        </w:rPr>
        <w:t>Controlling for topiramate use, the main effects of the use of the new drug was a drop in the HIT-6 by 5.2 points (95% CI: -9.1, -1.4).  Controlling for new drug use, topiramate users had an increase in the HIT-6 of 2.7 points (95% CI:  -1.2, 6.6).  There did not appear to be a significant in</w:t>
      </w:r>
      <w:r w:rsidR="009F64D7" w:rsidRPr="00967520">
        <w:rPr>
          <w:rFonts w:asciiTheme="majorHAnsi" w:hAnsiTheme="majorHAnsi"/>
          <w:sz w:val="24"/>
        </w:rPr>
        <w:t xml:space="preserve">teraction between the two drugs:  they were </w:t>
      </w:r>
      <w:r w:rsidR="00967520" w:rsidRPr="00967520">
        <w:rPr>
          <w:rFonts w:asciiTheme="majorHAnsi" w:hAnsiTheme="majorHAnsi"/>
          <w:sz w:val="24"/>
        </w:rPr>
        <w:t>neither synergistic nor</w:t>
      </w:r>
      <w:r w:rsidR="009F64D7" w:rsidRPr="00967520">
        <w:rPr>
          <w:rFonts w:asciiTheme="majorHAnsi" w:hAnsiTheme="majorHAnsi"/>
          <w:sz w:val="24"/>
        </w:rPr>
        <w:t xml:space="preserve"> antagonistic.</w:t>
      </w:r>
    </w:p>
    <w:p w:rsidR="000F78A1" w:rsidRDefault="000F78A1" w:rsidP="00CA4B1B">
      <w:pPr>
        <w:pStyle w:val="ListParagraph"/>
        <w:numPr>
          <w:ilvl w:val="0"/>
          <w:numId w:val="3"/>
        </w:numPr>
      </w:pPr>
      <w:r>
        <w:t>One of the most common applications of ANCOVA in clinical trials is to control for the baseline</w:t>
      </w:r>
      <w:r w:rsidR="00392A58">
        <w:t xml:space="preserve"> value of the primary endpoint</w:t>
      </w:r>
      <w:r>
        <w:t xml:space="preserve">.  For example, because of regression to the mean, individuals with a high HIT-6 at baseline are more likely to have a bigger decrease in HIT-6 over time.  </w:t>
      </w:r>
      <w:r w:rsidR="00291224">
        <w:t>Run an ANCOVA regression model with HIT-6_post as the endpoint and HIT-6_pre as the covariate.  Repeat the analysis, also controlling for topiramate use.  Is topiramate an important confounding variable in the analysis?</w:t>
      </w:r>
    </w:p>
    <w:p w:rsidR="00967520" w:rsidRDefault="00967520" w:rsidP="00967520">
      <w:pPr>
        <w:pStyle w:val="ListParagraph"/>
      </w:pPr>
      <w:r>
        <w:t xml:space="preserve">Table 3.  </w:t>
      </w:r>
      <w:r w:rsidRPr="00967520">
        <w:rPr>
          <w:b/>
        </w:rPr>
        <w:t>Adjusted mean difference</w:t>
      </w:r>
    </w:p>
    <w:tbl>
      <w:tblPr>
        <w:tblStyle w:val="TableGrid"/>
        <w:tblW w:w="10350" w:type="dxa"/>
        <w:tblInd w:w="-252" w:type="dxa"/>
        <w:tblLook w:val="04A0" w:firstRow="1" w:lastRow="0" w:firstColumn="1" w:lastColumn="0" w:noHBand="0" w:noVBand="1"/>
      </w:tblPr>
      <w:tblGrid>
        <w:gridCol w:w="4230"/>
        <w:gridCol w:w="2070"/>
        <w:gridCol w:w="1800"/>
        <w:gridCol w:w="2250"/>
      </w:tblGrid>
      <w:tr w:rsidR="005331F1" w:rsidTr="004D0653">
        <w:tc>
          <w:tcPr>
            <w:tcW w:w="4230" w:type="dxa"/>
          </w:tcPr>
          <w:p w:rsidR="005331F1" w:rsidRDefault="005331F1" w:rsidP="004D0653">
            <w:pPr>
              <w:pStyle w:val="ListParagraph"/>
              <w:ind w:left="0"/>
            </w:pPr>
          </w:p>
        </w:tc>
        <w:tc>
          <w:tcPr>
            <w:tcW w:w="2070" w:type="dxa"/>
          </w:tcPr>
          <w:p w:rsidR="005331F1" w:rsidRDefault="005331F1" w:rsidP="004D0653">
            <w:pPr>
              <w:pStyle w:val="ListParagraph"/>
              <w:ind w:left="0"/>
              <w:jc w:val="center"/>
            </w:pPr>
            <w:r>
              <w:t>New Drug</w:t>
            </w:r>
          </w:p>
          <w:p w:rsidR="005331F1" w:rsidRDefault="005331F1" w:rsidP="004D0653">
            <w:pPr>
              <w:pStyle w:val="ListParagraph"/>
              <w:ind w:left="0"/>
              <w:jc w:val="center"/>
            </w:pPr>
            <w:r>
              <w:t>N=45</w:t>
            </w:r>
          </w:p>
        </w:tc>
        <w:tc>
          <w:tcPr>
            <w:tcW w:w="1800" w:type="dxa"/>
          </w:tcPr>
          <w:p w:rsidR="005331F1" w:rsidRDefault="005331F1" w:rsidP="004D0653">
            <w:pPr>
              <w:pStyle w:val="ListParagraph"/>
              <w:ind w:left="0"/>
              <w:jc w:val="center"/>
            </w:pPr>
            <w:r>
              <w:t>Placebo</w:t>
            </w:r>
          </w:p>
          <w:p w:rsidR="005331F1" w:rsidRDefault="005331F1" w:rsidP="004D0653">
            <w:pPr>
              <w:pStyle w:val="ListParagraph"/>
              <w:ind w:left="0"/>
              <w:jc w:val="center"/>
            </w:pPr>
            <w:r>
              <w:t>N=45</w:t>
            </w:r>
          </w:p>
        </w:tc>
        <w:tc>
          <w:tcPr>
            <w:tcW w:w="2250" w:type="dxa"/>
          </w:tcPr>
          <w:p w:rsidR="005331F1" w:rsidRDefault="005331F1" w:rsidP="004D0653">
            <w:pPr>
              <w:pStyle w:val="ListParagraph"/>
              <w:ind w:left="0"/>
              <w:jc w:val="center"/>
            </w:pPr>
            <w:r>
              <w:t>Between group</w:t>
            </w:r>
          </w:p>
          <w:p w:rsidR="005331F1" w:rsidRDefault="005331F1" w:rsidP="004D0653">
            <w:pPr>
              <w:pStyle w:val="ListParagraph"/>
              <w:ind w:left="0"/>
              <w:jc w:val="center"/>
            </w:pPr>
            <w:r>
              <w:t>difference</w:t>
            </w:r>
          </w:p>
        </w:tc>
      </w:tr>
      <w:tr w:rsidR="005331F1" w:rsidTr="004D0653">
        <w:tc>
          <w:tcPr>
            <w:tcW w:w="4230" w:type="dxa"/>
          </w:tcPr>
          <w:p w:rsidR="005331F1" w:rsidRDefault="005331F1" w:rsidP="004D0653">
            <w:pPr>
              <w:pStyle w:val="ListParagraph"/>
              <w:ind w:left="0"/>
            </w:pPr>
            <w:r>
              <w:t>Mean HIT-6 pre (SD)</w:t>
            </w:r>
          </w:p>
        </w:tc>
        <w:tc>
          <w:tcPr>
            <w:tcW w:w="2070" w:type="dxa"/>
          </w:tcPr>
          <w:p w:rsidR="005331F1" w:rsidRDefault="005331F1" w:rsidP="004D0653">
            <w:pPr>
              <w:pStyle w:val="ListParagraph"/>
              <w:ind w:left="0"/>
              <w:jc w:val="center"/>
            </w:pPr>
            <w:r>
              <w:t>61.6 (5.3)</w:t>
            </w:r>
          </w:p>
        </w:tc>
        <w:tc>
          <w:tcPr>
            <w:tcW w:w="1800" w:type="dxa"/>
          </w:tcPr>
          <w:p w:rsidR="005331F1" w:rsidRDefault="005331F1" w:rsidP="004D0653">
            <w:pPr>
              <w:pStyle w:val="ListParagraph"/>
              <w:ind w:left="0"/>
              <w:jc w:val="center"/>
            </w:pPr>
            <w:r>
              <w:t>62.2 (4.0)</w:t>
            </w:r>
          </w:p>
        </w:tc>
        <w:tc>
          <w:tcPr>
            <w:tcW w:w="2250" w:type="dxa"/>
          </w:tcPr>
          <w:p w:rsidR="005331F1" w:rsidRDefault="005331F1" w:rsidP="004D0653">
            <w:pPr>
              <w:pStyle w:val="ListParagraph"/>
              <w:ind w:left="0"/>
              <w:jc w:val="center"/>
            </w:pPr>
          </w:p>
        </w:tc>
      </w:tr>
      <w:tr w:rsidR="005331F1" w:rsidTr="004D0653">
        <w:tc>
          <w:tcPr>
            <w:tcW w:w="4230" w:type="dxa"/>
          </w:tcPr>
          <w:p w:rsidR="005331F1" w:rsidRDefault="005331F1" w:rsidP="004D0653">
            <w:pPr>
              <w:pStyle w:val="ListParagraph"/>
              <w:ind w:left="0"/>
            </w:pPr>
            <w:r>
              <w:t>Adjusted Mean HIT-6 post (SD)</w:t>
            </w:r>
          </w:p>
        </w:tc>
        <w:tc>
          <w:tcPr>
            <w:tcW w:w="2070" w:type="dxa"/>
          </w:tcPr>
          <w:p w:rsidR="005331F1" w:rsidRDefault="005331F1" w:rsidP="004D0653">
            <w:pPr>
              <w:pStyle w:val="ListParagraph"/>
              <w:ind w:left="0"/>
              <w:jc w:val="center"/>
            </w:pPr>
            <w:r>
              <w:t>52.6 (6.9)</w:t>
            </w:r>
          </w:p>
        </w:tc>
        <w:tc>
          <w:tcPr>
            <w:tcW w:w="1800" w:type="dxa"/>
          </w:tcPr>
          <w:p w:rsidR="005331F1" w:rsidRDefault="005331F1" w:rsidP="004D0653">
            <w:pPr>
              <w:pStyle w:val="ListParagraph"/>
              <w:ind w:left="0"/>
              <w:jc w:val="center"/>
            </w:pPr>
            <w:r>
              <w:t>59.1 (6.1)</w:t>
            </w:r>
          </w:p>
        </w:tc>
        <w:tc>
          <w:tcPr>
            <w:tcW w:w="2250" w:type="dxa"/>
          </w:tcPr>
          <w:p w:rsidR="005331F1" w:rsidRDefault="005331F1" w:rsidP="005331F1">
            <w:pPr>
              <w:pStyle w:val="ListParagraph"/>
              <w:ind w:left="0"/>
              <w:jc w:val="center"/>
            </w:pPr>
            <w:r>
              <w:t>6.5 (3.9, 9.2)</w:t>
            </w:r>
          </w:p>
        </w:tc>
      </w:tr>
    </w:tbl>
    <w:p w:rsidR="00A34DB0" w:rsidRDefault="005331F1" w:rsidP="00A34DB0">
      <w:pPr>
        <w:pStyle w:val="ListParagraph"/>
      </w:pPr>
      <w:r>
        <w:t>Note that the confidence interval is a bit narrower, adjusting for the baseline.  There was no evidence for confounding by whether or not we controlled for topiramate (as we expected in this randomized study).</w:t>
      </w:r>
    </w:p>
    <w:p w:rsidR="00A34DB0" w:rsidRDefault="00A34DB0" w:rsidP="00A34DB0"/>
    <w:p w:rsidR="00291224" w:rsidRDefault="00291224" w:rsidP="00CA4B1B">
      <w:pPr>
        <w:pStyle w:val="ListParagraph"/>
        <w:numPr>
          <w:ilvl w:val="0"/>
          <w:numId w:val="3"/>
        </w:numPr>
      </w:pPr>
      <w:r>
        <w:t>You might also be interested in what patient characteristics predict a higher HIT-6 at baseline.  Include as predictors all other variables measured at baseline (age, sex, race, baseline headache frequency, baseline headache severity).  Drop any variables that do not make independent contributions to the model.</w:t>
      </w:r>
    </w:p>
    <w:p w:rsidR="005331F1" w:rsidRDefault="005331F1" w:rsidP="005331F1">
      <w:pPr>
        <w:pStyle w:val="ListParagraph"/>
      </w:pPr>
    </w:p>
    <w:p w:rsidR="005331F1" w:rsidRPr="005331F1" w:rsidRDefault="005331F1" w:rsidP="005331F1">
      <w:pPr>
        <w:rPr>
          <w:rFonts w:asciiTheme="majorHAnsi" w:hAnsiTheme="majorHAnsi"/>
        </w:rPr>
      </w:pPr>
      <w:r w:rsidRPr="005331F1">
        <w:rPr>
          <w:rFonts w:asciiTheme="majorHAnsi" w:hAnsiTheme="majorHAnsi"/>
        </w:rPr>
        <w:t xml:space="preserve">The best predictor of the baseline HIT-6 is the headache severity in the thirty days before the trial.  Individuals with an increase in headache severity by one point had a 1.7 (1.3, 2 2) point increase in </w:t>
      </w:r>
      <w:r w:rsidRPr="005331F1">
        <w:rPr>
          <w:rFonts w:asciiTheme="majorHAnsi" w:hAnsiTheme="majorHAnsi"/>
        </w:rPr>
        <w:lastRenderedPageBreak/>
        <w:t>the HIT-6.</w:t>
      </w:r>
      <w:r w:rsidR="00051DFE">
        <w:rPr>
          <w:rFonts w:asciiTheme="majorHAnsi" w:hAnsiTheme="majorHAnsi"/>
        </w:rPr>
        <w:t xml:space="preserve">  You might have noticed that the model diagnostics looked OK (not perfect).  There were a few studentized residuals that were greater than 2 or less than -2 and a few spikes on the Cook’s D analysis.  But the residuals were normally distributed around 0 and the model diagnostics for the model where headache frequency was included were just a little better.</w:t>
      </w:r>
      <w:r w:rsidR="00D03936">
        <w:rPr>
          <w:rFonts w:asciiTheme="majorHAnsi" w:hAnsiTheme="majorHAnsi"/>
        </w:rPr>
        <w:t xml:space="preserve"> The Cook’s d looks OK for both models, too.   And none of the values are out of range or implausible. You could choose to report either</w:t>
      </w:r>
      <w:r w:rsidR="009F64D7">
        <w:rPr>
          <w:rFonts w:asciiTheme="majorHAnsi" w:hAnsiTheme="majorHAnsi"/>
        </w:rPr>
        <w:t xml:space="preserve"> model.  (this is a print-out fo</w:t>
      </w:r>
      <w:r w:rsidR="00D03936">
        <w:rPr>
          <w:rFonts w:asciiTheme="majorHAnsi" w:hAnsiTheme="majorHAnsi"/>
        </w:rPr>
        <w:t>r the predicted values, jackknife residuals, and Cook’s d for the model with both frequency and severity).</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EVFRQ"/>
      </w:tblPr>
      <w:tblGrid>
        <w:gridCol w:w="564"/>
        <w:gridCol w:w="897"/>
        <w:gridCol w:w="1070"/>
        <w:gridCol w:w="1070"/>
        <w:gridCol w:w="930"/>
        <w:gridCol w:w="1010"/>
        <w:gridCol w:w="930"/>
      </w:tblGrid>
      <w:tr w:rsidR="00D03936" w:rsidRPr="00D03936" w:rsidTr="00D03936">
        <w:trPr>
          <w:tblHeade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proofErr w:type="spellStart"/>
            <w:r w:rsidRPr="00D03936">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hit6pre</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proofErr w:type="spellStart"/>
            <w:r w:rsidRPr="00D03936">
              <w:rPr>
                <w:rFonts w:ascii="Times New Roman" w:eastAsia="Times New Roman" w:hAnsi="Times New Roman" w:cs="Times New Roman"/>
                <w:b/>
                <w:bCs/>
                <w:sz w:val="24"/>
                <w:szCs w:val="24"/>
              </w:rPr>
              <w:t>hasevpre</w:t>
            </w:r>
            <w:proofErr w:type="spellEnd"/>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proofErr w:type="spellStart"/>
            <w:r w:rsidRPr="00D03936">
              <w:rPr>
                <w:rFonts w:ascii="Times New Roman" w:eastAsia="Times New Roman" w:hAnsi="Times New Roman" w:cs="Times New Roman"/>
                <w:b/>
                <w:bCs/>
                <w:sz w:val="24"/>
                <w:szCs w:val="24"/>
              </w:rPr>
              <w:t>hafrqpre</w:t>
            </w:r>
            <w:proofErr w:type="spellEnd"/>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proofErr w:type="spellStart"/>
            <w:r w:rsidRPr="00D03936">
              <w:rPr>
                <w:rFonts w:ascii="Times New Roman" w:eastAsia="Times New Roman" w:hAnsi="Times New Roman" w:cs="Times New Roman"/>
                <w:b/>
                <w:bCs/>
                <w:sz w:val="24"/>
                <w:szCs w:val="24"/>
              </w:rPr>
              <w:t>sfprob</w:t>
            </w:r>
            <w:proofErr w:type="spellEnd"/>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proofErr w:type="spellStart"/>
            <w:r w:rsidRPr="00D03936">
              <w:rPr>
                <w:rFonts w:ascii="Times New Roman" w:eastAsia="Times New Roman" w:hAnsi="Times New Roman" w:cs="Times New Roman"/>
                <w:b/>
                <w:bCs/>
                <w:sz w:val="24"/>
                <w:szCs w:val="24"/>
              </w:rPr>
              <w:t>sfjack</w:t>
            </w:r>
            <w:proofErr w:type="spellEnd"/>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proofErr w:type="spellStart"/>
            <w:r w:rsidRPr="00D03936">
              <w:rPr>
                <w:rFonts w:ascii="Times New Roman" w:eastAsia="Times New Roman" w:hAnsi="Times New Roman" w:cs="Times New Roman"/>
                <w:b/>
                <w:bCs/>
                <w:sz w:val="24"/>
                <w:szCs w:val="24"/>
              </w:rPr>
              <w:t>sfcook</w:t>
            </w:r>
            <w:proofErr w:type="spellEnd"/>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57.4390</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-2.24873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0.12513</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69.6163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1.92211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0.10209</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55.9621</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-1.78008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0.07582</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65.5272</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-2.22998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0.05717</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57.3489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1.38631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0.05396</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66.8784</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-1.73607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0.05132</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56.3402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1.67231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0.05101</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61.4202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2.23533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0.04200</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66.9684</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-1.46321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0.03995</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59.3306</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-2.15773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0.03920</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63.0773</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-1.49041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0.03572</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66.8784</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-1.43294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0.03535</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58.7001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2.14479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0.03418</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67.4367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1.34060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0.03302</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62.9872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1.17533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0.02490</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56.2501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1.10011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0.02409</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27</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57.5112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1.30976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0.02402</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64.7165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0.96695</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0.02223</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19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30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70.5171</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-0.75449</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0.02184</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20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56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14</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61.7984</w:t>
            </w:r>
          </w:p>
        </w:tc>
        <w:tc>
          <w:tcPr>
            <w:tcW w:w="0" w:type="auto"/>
            <w:tcBorders>
              <w:top w:val="nil"/>
              <w:left w:val="nil"/>
              <w:bottom w:val="nil"/>
              <w:right w:val="nil"/>
            </w:tcBorders>
            <w:noWrap/>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-1.68552</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0.01988</w:t>
            </w:r>
          </w:p>
        </w:tc>
      </w:tr>
      <w:tr w:rsidR="00D03936" w:rsidRPr="00D03936" w:rsidTr="00D03936">
        <w:trPr>
          <w:jc w:val="center"/>
        </w:trPr>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b/>
                <w:bCs/>
                <w:sz w:val="24"/>
                <w:szCs w:val="24"/>
              </w:rPr>
            </w:pPr>
            <w:r w:rsidRPr="00D03936">
              <w:rPr>
                <w:rFonts w:ascii="Times New Roman" w:eastAsia="Times New Roman" w:hAnsi="Times New Roman" w:cs="Times New Roman"/>
                <w:b/>
                <w:bCs/>
                <w:sz w:val="24"/>
                <w:szCs w:val="24"/>
              </w:rPr>
              <w:t>21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70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20</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62.3388</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2.24371</w:t>
            </w:r>
          </w:p>
        </w:tc>
        <w:tc>
          <w:tcPr>
            <w:tcW w:w="0" w:type="auto"/>
            <w:tcBorders>
              <w:top w:val="nil"/>
              <w:left w:val="nil"/>
              <w:bottom w:val="nil"/>
              <w:right w:val="nil"/>
            </w:tcBorders>
            <w:hideMark/>
          </w:tcPr>
          <w:p w:rsidR="00D03936" w:rsidRPr="00D03936" w:rsidRDefault="00D03936" w:rsidP="00D03936">
            <w:pPr>
              <w:spacing w:after="0" w:line="240" w:lineRule="auto"/>
              <w:jc w:val="right"/>
              <w:rPr>
                <w:rFonts w:ascii="Times New Roman" w:eastAsia="Times New Roman" w:hAnsi="Times New Roman" w:cs="Times New Roman"/>
                <w:sz w:val="24"/>
                <w:szCs w:val="24"/>
              </w:rPr>
            </w:pPr>
            <w:r w:rsidRPr="00D03936">
              <w:rPr>
                <w:rFonts w:ascii="Times New Roman" w:eastAsia="Times New Roman" w:hAnsi="Times New Roman" w:cs="Times New Roman"/>
                <w:sz w:val="24"/>
                <w:szCs w:val="24"/>
              </w:rPr>
              <w:t>0.01895</w:t>
            </w:r>
          </w:p>
        </w:tc>
      </w:tr>
    </w:tbl>
    <w:p w:rsidR="00841A49" w:rsidRDefault="00841A49" w:rsidP="00841A49"/>
    <w:p w:rsidR="00841A49" w:rsidRPr="00D73C7D" w:rsidRDefault="00841A49" w:rsidP="00841A49">
      <w:pPr>
        <w:rPr>
          <w:rFonts w:asciiTheme="majorHAnsi" w:hAnsiTheme="majorHAnsi"/>
          <w:sz w:val="24"/>
        </w:rPr>
      </w:pPr>
      <w:r w:rsidRPr="00D73C7D">
        <w:rPr>
          <w:rFonts w:asciiTheme="majorHAnsi" w:hAnsiTheme="majorHAnsi"/>
          <w:sz w:val="24"/>
        </w:rPr>
        <w:t xml:space="preserve">Please submit an analysis report based on your analyses.  Include a description of the population, a description of the measures and covariates and how they are used in analyses </w:t>
      </w:r>
      <w:r w:rsidRPr="00D73C7D">
        <w:rPr>
          <w:rFonts w:asciiTheme="majorHAnsi" w:hAnsiTheme="majorHAnsi"/>
          <w:sz w:val="24"/>
        </w:rPr>
        <w:lastRenderedPageBreak/>
        <w:t xml:space="preserve">as well as a description of your statistical analysis methods.  </w:t>
      </w:r>
      <w:r w:rsidR="00F90F59" w:rsidRPr="00D73C7D">
        <w:rPr>
          <w:rFonts w:asciiTheme="majorHAnsi" w:hAnsiTheme="majorHAnsi"/>
          <w:sz w:val="24"/>
        </w:rPr>
        <w:t xml:space="preserve"> </w:t>
      </w:r>
      <w:r w:rsidRPr="00D73C7D">
        <w:rPr>
          <w:rFonts w:asciiTheme="majorHAnsi" w:hAnsiTheme="majorHAnsi"/>
          <w:sz w:val="24"/>
        </w:rPr>
        <w:t xml:space="preserve">Present your results in words </w:t>
      </w:r>
      <w:r w:rsidR="00F90F59" w:rsidRPr="00D73C7D">
        <w:rPr>
          <w:rFonts w:asciiTheme="majorHAnsi" w:hAnsiTheme="majorHAnsi"/>
          <w:sz w:val="24"/>
        </w:rPr>
        <w:t>and a discussion as defined in E</w:t>
      </w:r>
      <w:r w:rsidRPr="00D73C7D">
        <w:rPr>
          <w:rFonts w:asciiTheme="majorHAnsi" w:hAnsiTheme="majorHAnsi"/>
          <w:sz w:val="24"/>
        </w:rPr>
        <w:t xml:space="preserve">xercise 1.  </w:t>
      </w:r>
    </w:p>
    <w:p w:rsidR="00D03936" w:rsidRDefault="00D03936" w:rsidP="00841A49">
      <w:pPr>
        <w:rPr>
          <w:rFonts w:asciiTheme="majorHAnsi" w:hAnsiTheme="majorHAnsi"/>
          <w:sz w:val="24"/>
        </w:rPr>
      </w:pPr>
      <w:r>
        <w:rPr>
          <w:rFonts w:asciiTheme="majorHAnsi" w:hAnsiTheme="majorHAnsi"/>
          <w:sz w:val="24"/>
        </w:rPr>
        <w:t>Write-up</w:t>
      </w:r>
      <w:r w:rsidR="003E1735">
        <w:rPr>
          <w:rFonts w:asciiTheme="majorHAnsi" w:hAnsiTheme="majorHAnsi"/>
          <w:sz w:val="24"/>
        </w:rPr>
        <w:t xml:space="preserve"> example—yours could look very different and still be fine</w:t>
      </w:r>
      <w:r>
        <w:rPr>
          <w:rFonts w:asciiTheme="majorHAnsi" w:hAnsiTheme="majorHAnsi"/>
          <w:sz w:val="24"/>
        </w:rPr>
        <w:t xml:space="preserve">:  </w:t>
      </w:r>
    </w:p>
    <w:p w:rsidR="009F64D7" w:rsidRDefault="009F64D7" w:rsidP="00841A49">
      <w:pPr>
        <w:rPr>
          <w:rFonts w:asciiTheme="majorHAnsi" w:hAnsiTheme="majorHAnsi"/>
          <w:sz w:val="24"/>
        </w:rPr>
      </w:pPr>
      <w:r>
        <w:rPr>
          <w:rFonts w:asciiTheme="majorHAnsi" w:hAnsiTheme="majorHAnsi"/>
          <w:sz w:val="24"/>
        </w:rPr>
        <w:t>We were interested in the therapeutic effects of a new preve</w:t>
      </w:r>
      <w:r w:rsidR="001B1A65">
        <w:rPr>
          <w:rFonts w:asciiTheme="majorHAnsi" w:hAnsiTheme="majorHAnsi"/>
          <w:sz w:val="24"/>
        </w:rPr>
        <w:t>ntative medication for migraine.  In addition, we wanted to examine the possibility of a synergistic effect between the new medication and an established preventative medication:  topiramate.</w:t>
      </w:r>
    </w:p>
    <w:p w:rsidR="00552FBB" w:rsidRPr="003E1735" w:rsidRDefault="00552FBB" w:rsidP="00841A49">
      <w:pPr>
        <w:rPr>
          <w:rFonts w:asciiTheme="majorHAnsi" w:hAnsiTheme="majorHAnsi"/>
          <w:b/>
          <w:sz w:val="24"/>
        </w:rPr>
      </w:pPr>
      <w:r w:rsidRPr="003E1735">
        <w:rPr>
          <w:rFonts w:asciiTheme="majorHAnsi" w:hAnsiTheme="majorHAnsi"/>
          <w:b/>
          <w:sz w:val="24"/>
        </w:rPr>
        <w:t>Methods</w:t>
      </w:r>
    </w:p>
    <w:p w:rsidR="001B1A65" w:rsidRDefault="001B1A65" w:rsidP="00841A49">
      <w:pPr>
        <w:rPr>
          <w:rFonts w:asciiTheme="majorHAnsi" w:hAnsiTheme="majorHAnsi"/>
          <w:sz w:val="24"/>
        </w:rPr>
      </w:pPr>
      <w:r>
        <w:rPr>
          <w:rFonts w:asciiTheme="majorHAnsi" w:hAnsiTheme="majorHAnsi"/>
          <w:sz w:val="24"/>
        </w:rPr>
        <w:t xml:space="preserve">Ninety individuals with either </w:t>
      </w:r>
      <w:r w:rsidR="00552FBB">
        <w:rPr>
          <w:rFonts w:asciiTheme="majorHAnsi" w:hAnsiTheme="majorHAnsi"/>
          <w:sz w:val="24"/>
        </w:rPr>
        <w:t xml:space="preserve">ICHD-defined </w:t>
      </w:r>
      <w:r>
        <w:rPr>
          <w:rFonts w:asciiTheme="majorHAnsi" w:hAnsiTheme="majorHAnsi"/>
          <w:sz w:val="24"/>
        </w:rPr>
        <w:t xml:space="preserve">chronic or intermittent migraine were randomized to receive the new medication plus or minus topiramate or no medication.  Individuals were required to have a two-year history of headache </w:t>
      </w:r>
      <w:r w:rsidR="00552FBB">
        <w:rPr>
          <w:rFonts w:asciiTheme="majorHAnsi" w:hAnsiTheme="majorHAnsi"/>
          <w:sz w:val="24"/>
        </w:rPr>
        <w:t xml:space="preserve">and to be free of serious illness or other causes of headache.  Demographic variables collected at baseline included gender, race, and age.  Also collected was baseline headache frequency and severity and baseline values for the Headache Impact test (HIT-6), a validated migraine-specific quality of life measure.  </w:t>
      </w:r>
      <w:r w:rsidR="00967520">
        <w:rPr>
          <w:rFonts w:asciiTheme="majorHAnsi" w:hAnsiTheme="majorHAnsi"/>
          <w:sz w:val="24"/>
        </w:rPr>
        <w:t>The cut-off for a clinically significant difference in the HIT-6 was defined as 3.6 (give reference).</w:t>
      </w:r>
    </w:p>
    <w:p w:rsidR="00552FBB" w:rsidRPr="003E1735" w:rsidRDefault="00552FBB" w:rsidP="00841A49">
      <w:pPr>
        <w:rPr>
          <w:rFonts w:asciiTheme="majorHAnsi" w:hAnsiTheme="majorHAnsi"/>
          <w:i/>
          <w:sz w:val="24"/>
        </w:rPr>
      </w:pPr>
      <w:r w:rsidRPr="003E1735">
        <w:rPr>
          <w:rFonts w:asciiTheme="majorHAnsi" w:hAnsiTheme="majorHAnsi"/>
          <w:i/>
          <w:sz w:val="24"/>
        </w:rPr>
        <w:t>Statistical analysis</w:t>
      </w:r>
    </w:p>
    <w:p w:rsidR="00552FBB" w:rsidRDefault="00552FBB" w:rsidP="00841A49">
      <w:pPr>
        <w:rPr>
          <w:rFonts w:asciiTheme="majorHAnsi" w:hAnsiTheme="majorHAnsi"/>
          <w:sz w:val="24"/>
        </w:rPr>
      </w:pPr>
      <w:r>
        <w:rPr>
          <w:rFonts w:asciiTheme="majorHAnsi" w:hAnsiTheme="majorHAnsi"/>
          <w:sz w:val="24"/>
        </w:rPr>
        <w:t>Univariate distributions and patterns of missing data were examined for all variables.  Distributions across topiramate and the new medication were also examined.  Associations between baseline variables and outcomes (headache frequency, HIT-6) were examined with t-tests and analysis of covariance, cont</w:t>
      </w:r>
      <w:r w:rsidR="003E1735">
        <w:rPr>
          <w:rFonts w:asciiTheme="majorHAnsi" w:hAnsiTheme="majorHAnsi"/>
          <w:sz w:val="24"/>
        </w:rPr>
        <w:t>r</w:t>
      </w:r>
      <w:r>
        <w:rPr>
          <w:rFonts w:asciiTheme="majorHAnsi" w:hAnsiTheme="majorHAnsi"/>
          <w:sz w:val="24"/>
        </w:rPr>
        <w:t xml:space="preserve">olling for baseline values.  In addition, two-way analysis of variance was used </w:t>
      </w:r>
      <w:r w:rsidR="003E1735">
        <w:rPr>
          <w:rFonts w:asciiTheme="majorHAnsi" w:hAnsiTheme="majorHAnsi"/>
          <w:sz w:val="24"/>
        </w:rPr>
        <w:t>to assess synergy between the drugs. (Note:  ordinarily, here you would also state that you completed an “as treated” and an “intention-to-treat analysis”.  In an “as treated” analysis, you do not replace the missing data and complete the analysis excluding missing values.  This can lead to bias if the reason for missingness is related to the exposure.  You would also want to state your imputation method for your intention-to-treat analysis.  As noted above, the most commonly used methods are “last-value-carried forward”</w:t>
      </w:r>
      <w:r w:rsidR="00C21F96">
        <w:rPr>
          <w:rFonts w:asciiTheme="majorHAnsi" w:hAnsiTheme="majorHAnsi"/>
          <w:sz w:val="24"/>
        </w:rPr>
        <w:t xml:space="preserve"> </w:t>
      </w:r>
      <w:r w:rsidR="003E1735">
        <w:rPr>
          <w:rFonts w:asciiTheme="majorHAnsi" w:hAnsiTheme="majorHAnsi"/>
          <w:sz w:val="24"/>
        </w:rPr>
        <w:t>or multiple imputation.)</w:t>
      </w:r>
    </w:p>
    <w:p w:rsidR="003E1735" w:rsidRPr="00C21F96" w:rsidRDefault="003E1735" w:rsidP="00841A49">
      <w:pPr>
        <w:rPr>
          <w:rFonts w:asciiTheme="majorHAnsi" w:hAnsiTheme="majorHAnsi"/>
          <w:b/>
          <w:sz w:val="24"/>
          <w:szCs w:val="24"/>
        </w:rPr>
      </w:pPr>
      <w:r w:rsidRPr="00C21F96">
        <w:rPr>
          <w:rFonts w:asciiTheme="majorHAnsi" w:hAnsiTheme="majorHAnsi"/>
          <w:b/>
          <w:sz w:val="24"/>
          <w:szCs w:val="24"/>
        </w:rPr>
        <w:t>Results</w:t>
      </w:r>
      <w:r w:rsidR="008B6775">
        <w:rPr>
          <w:rFonts w:asciiTheme="majorHAnsi" w:hAnsiTheme="majorHAnsi"/>
          <w:b/>
          <w:sz w:val="24"/>
          <w:szCs w:val="24"/>
        </w:rPr>
        <w:t xml:space="preserve"> (highlights)</w:t>
      </w:r>
    </w:p>
    <w:p w:rsidR="00C21F96" w:rsidRDefault="00C21F96" w:rsidP="00967520">
      <w:pPr>
        <w:pStyle w:val="ListParagraph"/>
        <w:spacing w:line="276" w:lineRule="auto"/>
        <w:ind w:left="0"/>
      </w:pPr>
      <w:r w:rsidRPr="00C21F96">
        <w:rPr>
          <w:rFonts w:asciiTheme="majorHAnsi" w:hAnsiTheme="majorHAnsi"/>
        </w:rPr>
        <w:t xml:space="preserve">Six people were missing data for headache severity at the end of the trial and four were missing data for headache frequency with a total of 8 of the 90 randomized subjects with missing data.  </w:t>
      </w:r>
      <w:r>
        <w:t xml:space="preserve">Subjects with missing data were somewhat older (mean 38 vs. 36) and have a higher baseline HIT-6 (63.7 vs. 61.7).  In addition, they were less likely to be in the new drug group (3 vs. 5) and more likely to be in the topiramate group (5 vs. 3).  </w:t>
      </w:r>
      <w:r w:rsidR="006309FC">
        <w:t>Subjects randomized to topiramate or no preventive medications were more likely to be non-</w:t>
      </w:r>
      <w:r w:rsidR="006309FC">
        <w:lastRenderedPageBreak/>
        <w:t xml:space="preserve">Hispanic White, but mean values for headache frequency, headache severity, and HIT-6 were </w:t>
      </w:r>
      <w:r w:rsidR="00967520">
        <w:t>similar across treatment groups at baseline</w:t>
      </w:r>
      <w:r w:rsidR="006309FC">
        <w:t xml:space="preserve"> (Table 1).  </w:t>
      </w:r>
      <w:r w:rsidR="00967520">
        <w:t xml:space="preserve"> </w:t>
      </w:r>
    </w:p>
    <w:p w:rsidR="00967520" w:rsidRDefault="00967520" w:rsidP="00967520">
      <w:pPr>
        <w:pStyle w:val="ListParagraph"/>
        <w:spacing w:line="276" w:lineRule="auto"/>
        <w:ind w:left="0"/>
      </w:pPr>
    </w:p>
    <w:p w:rsidR="00967520" w:rsidRDefault="00967520" w:rsidP="00967520">
      <w:pPr>
        <w:rPr>
          <w:rFonts w:asciiTheme="majorHAnsi" w:hAnsiTheme="majorHAnsi"/>
          <w:sz w:val="24"/>
          <w:szCs w:val="24"/>
        </w:rPr>
      </w:pPr>
      <w:r w:rsidRPr="00967520">
        <w:rPr>
          <w:rFonts w:asciiTheme="majorHAnsi" w:hAnsiTheme="majorHAnsi"/>
          <w:sz w:val="24"/>
          <w:szCs w:val="24"/>
        </w:rPr>
        <w:t>In bivariable analysis, the new drug was associated with a statistically and clinically significant change in the HIT-6 with an unadjusted pre-post difference of 9.1 points and a between group difference of 6.7 (95% CI: 4.0, 9.5).  Adjusting for baseline values, the difference was 6.5 (95% CI: 3.9, 9.2).  Controlling for topiramate use, the main effects of the use of the new drug was a drop in the HIT-6 by 5.2 points (95% CI: -9.1, -1.4).  Controlling for new drug use, topiramate users had an increase in the HIT-6 of 2.7 points (95% CI:  -1.2, 6.6).  There did not appear to be a significant interaction between the two drugs:  they were neither synergistic nor antagonistic.</w:t>
      </w:r>
      <w:r>
        <w:rPr>
          <w:rFonts w:asciiTheme="majorHAnsi" w:hAnsiTheme="majorHAnsi"/>
          <w:sz w:val="24"/>
          <w:szCs w:val="24"/>
        </w:rPr>
        <w:t xml:space="preserve">  Neither drug was associated with </w:t>
      </w:r>
      <w:r w:rsidR="008B6775">
        <w:rPr>
          <w:rFonts w:asciiTheme="majorHAnsi" w:hAnsiTheme="majorHAnsi"/>
          <w:sz w:val="24"/>
          <w:szCs w:val="24"/>
        </w:rPr>
        <w:t>a significant change in headache frequency.  (We did not look at headache severity).</w:t>
      </w:r>
    </w:p>
    <w:p w:rsidR="008B6775" w:rsidRPr="008B6775" w:rsidRDefault="008B6775" w:rsidP="00967520">
      <w:pPr>
        <w:rPr>
          <w:rFonts w:asciiTheme="majorHAnsi" w:hAnsiTheme="majorHAnsi"/>
          <w:b/>
          <w:sz w:val="24"/>
          <w:szCs w:val="24"/>
        </w:rPr>
      </w:pPr>
      <w:r w:rsidRPr="008B6775">
        <w:rPr>
          <w:rFonts w:asciiTheme="majorHAnsi" w:hAnsiTheme="majorHAnsi"/>
          <w:b/>
          <w:sz w:val="24"/>
          <w:szCs w:val="24"/>
        </w:rPr>
        <w:t>Discussion</w:t>
      </w:r>
    </w:p>
    <w:p w:rsidR="008B6775" w:rsidRDefault="008B6775" w:rsidP="00967520">
      <w:pPr>
        <w:rPr>
          <w:rFonts w:asciiTheme="majorHAnsi" w:hAnsiTheme="majorHAnsi"/>
          <w:sz w:val="24"/>
          <w:szCs w:val="24"/>
        </w:rPr>
      </w:pPr>
      <w:r>
        <w:rPr>
          <w:rFonts w:asciiTheme="majorHAnsi" w:hAnsiTheme="majorHAnsi"/>
          <w:sz w:val="24"/>
          <w:szCs w:val="24"/>
        </w:rPr>
        <w:t>Potential points to cover:  restate main findings.  Talk about promising nature of new drug.  Talk about how topiramate did not perform well in this population—not sure why.  You would expect it to have a significant impact on the HIT-6 and headache frequency.  You could mention the discrepancy between the results for the HIT-6 and headache frequency and your analysis showing that HIT-6 is more closely related to headache severity than headache frequency.</w:t>
      </w:r>
    </w:p>
    <w:p w:rsidR="008B6775" w:rsidRDefault="008B6775" w:rsidP="00967520">
      <w:pPr>
        <w:rPr>
          <w:rFonts w:asciiTheme="majorHAnsi" w:hAnsiTheme="majorHAnsi"/>
          <w:sz w:val="24"/>
          <w:szCs w:val="24"/>
        </w:rPr>
      </w:pPr>
      <w:r>
        <w:rPr>
          <w:rFonts w:asciiTheme="majorHAnsi" w:hAnsiTheme="majorHAnsi"/>
          <w:sz w:val="24"/>
          <w:szCs w:val="24"/>
        </w:rPr>
        <w:t>Limitations:  small trial.  Also, we really should have designed it as a three-arm trial of mew drug, topiramate, or both since topiramate is a known effective medication. We should really limit to either chronic daily headache or episodic migraine for a real trial.</w:t>
      </w:r>
    </w:p>
    <w:p w:rsidR="008B6775" w:rsidRPr="00967520" w:rsidRDefault="008B6775" w:rsidP="00967520">
      <w:pPr>
        <w:rPr>
          <w:rFonts w:asciiTheme="majorHAnsi" w:hAnsiTheme="majorHAnsi"/>
          <w:sz w:val="24"/>
          <w:szCs w:val="24"/>
        </w:rPr>
      </w:pPr>
      <w:r>
        <w:rPr>
          <w:rFonts w:asciiTheme="majorHAnsi" w:hAnsiTheme="majorHAnsi"/>
          <w:sz w:val="24"/>
          <w:szCs w:val="24"/>
        </w:rPr>
        <w:t>Strengths:  first study of new drug—designed as a pilot to use in design of larger, definitive trial (that will be properly designed).</w:t>
      </w:r>
    </w:p>
    <w:p w:rsidR="00967520" w:rsidRDefault="00967520" w:rsidP="00967520">
      <w:pPr>
        <w:pStyle w:val="ListParagraph"/>
        <w:spacing w:line="276" w:lineRule="auto"/>
        <w:ind w:left="0"/>
      </w:pPr>
    </w:p>
    <w:p w:rsidR="00C21F96" w:rsidRDefault="00C21F96" w:rsidP="00967520">
      <w:pPr>
        <w:pStyle w:val="ListParagraph"/>
        <w:spacing w:line="276" w:lineRule="auto"/>
        <w:ind w:left="0"/>
      </w:pPr>
    </w:p>
    <w:p w:rsidR="00C21F96" w:rsidRDefault="00C21F96" w:rsidP="00C21F96">
      <w:pPr>
        <w:pStyle w:val="ListParagraph"/>
        <w:ind w:left="0"/>
      </w:pPr>
    </w:p>
    <w:p w:rsidR="003E1735" w:rsidRPr="00C21F96" w:rsidRDefault="003E1735" w:rsidP="00841A49">
      <w:pPr>
        <w:rPr>
          <w:rFonts w:asciiTheme="majorHAnsi" w:hAnsiTheme="majorHAnsi"/>
          <w:sz w:val="24"/>
          <w:szCs w:val="24"/>
        </w:rPr>
      </w:pPr>
    </w:p>
    <w:p w:rsidR="003E1735" w:rsidRPr="00C21F96" w:rsidRDefault="003E1735" w:rsidP="00841A49">
      <w:pPr>
        <w:rPr>
          <w:rFonts w:asciiTheme="majorHAnsi" w:hAnsiTheme="majorHAnsi"/>
          <w:sz w:val="24"/>
          <w:szCs w:val="24"/>
        </w:rPr>
      </w:pPr>
    </w:p>
    <w:sectPr w:rsidR="003E1735" w:rsidRPr="00C2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077"/>
    <w:multiLevelType w:val="hybridMultilevel"/>
    <w:tmpl w:val="0108D5F4"/>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4B7809D3"/>
    <w:multiLevelType w:val="hybridMultilevel"/>
    <w:tmpl w:val="93E07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15341"/>
    <w:multiLevelType w:val="hybridMultilevel"/>
    <w:tmpl w:val="65C4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893"/>
    <w:rsid w:val="00051DFE"/>
    <w:rsid w:val="000B05FC"/>
    <w:rsid w:val="000E6255"/>
    <w:rsid w:val="000F78A1"/>
    <w:rsid w:val="0015060A"/>
    <w:rsid w:val="001B1A65"/>
    <w:rsid w:val="00256521"/>
    <w:rsid w:val="00261E68"/>
    <w:rsid w:val="00291224"/>
    <w:rsid w:val="00302893"/>
    <w:rsid w:val="00311040"/>
    <w:rsid w:val="00337BE3"/>
    <w:rsid w:val="00392A58"/>
    <w:rsid w:val="003E1735"/>
    <w:rsid w:val="005331F1"/>
    <w:rsid w:val="00552FBB"/>
    <w:rsid w:val="006309FC"/>
    <w:rsid w:val="007B67F7"/>
    <w:rsid w:val="007F3040"/>
    <w:rsid w:val="00826A74"/>
    <w:rsid w:val="00841A49"/>
    <w:rsid w:val="008B6775"/>
    <w:rsid w:val="00967520"/>
    <w:rsid w:val="009977E3"/>
    <w:rsid w:val="009F64D7"/>
    <w:rsid w:val="00A34DB0"/>
    <w:rsid w:val="00AD2C01"/>
    <w:rsid w:val="00B1092D"/>
    <w:rsid w:val="00BA15AE"/>
    <w:rsid w:val="00BC6487"/>
    <w:rsid w:val="00C21F96"/>
    <w:rsid w:val="00CA4B1B"/>
    <w:rsid w:val="00CD3A0D"/>
    <w:rsid w:val="00CE51D5"/>
    <w:rsid w:val="00CE685C"/>
    <w:rsid w:val="00D03936"/>
    <w:rsid w:val="00D73C7D"/>
    <w:rsid w:val="00E148E3"/>
    <w:rsid w:val="00E26E28"/>
    <w:rsid w:val="00F9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19C53-4F24-472E-94E2-21D1EAF9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15AE"/>
    <w:rPr>
      <w:sz w:val="16"/>
      <w:szCs w:val="16"/>
    </w:rPr>
  </w:style>
  <w:style w:type="paragraph" w:styleId="ListParagraph">
    <w:name w:val="List Paragraph"/>
    <w:basedOn w:val="Normal"/>
    <w:uiPriority w:val="72"/>
    <w:rsid w:val="00BA15AE"/>
    <w:pPr>
      <w:spacing w:after="0" w:line="240" w:lineRule="auto"/>
      <w:ind w:left="720"/>
      <w:contextualSpacing/>
    </w:pPr>
    <w:rPr>
      <w:rFonts w:ascii="Cambria" w:eastAsia="Cambria" w:hAnsi="Cambria" w:cs="Times New Roman"/>
      <w:sz w:val="24"/>
      <w:szCs w:val="24"/>
    </w:rPr>
  </w:style>
  <w:style w:type="table" w:styleId="TableGrid">
    <w:name w:val="Table Grid"/>
    <w:basedOn w:val="TableNormal"/>
    <w:uiPriority w:val="59"/>
    <w:rsid w:val="00AD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6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937">
      <w:bodyDiv w:val="1"/>
      <w:marLeft w:val="120"/>
      <w:marRight w:val="120"/>
      <w:marTop w:val="0"/>
      <w:marBottom w:val="0"/>
      <w:divBdr>
        <w:top w:val="none" w:sz="0" w:space="0" w:color="auto"/>
        <w:left w:val="none" w:sz="0" w:space="0" w:color="auto"/>
        <w:bottom w:val="none" w:sz="0" w:space="0" w:color="auto"/>
        <w:right w:val="none" w:sz="0" w:space="0" w:color="auto"/>
      </w:divBdr>
      <w:divsChild>
        <w:div w:id="1145002641">
          <w:marLeft w:val="0"/>
          <w:marRight w:val="0"/>
          <w:marTop w:val="0"/>
          <w:marBottom w:val="0"/>
          <w:divBdr>
            <w:top w:val="none" w:sz="0" w:space="0" w:color="auto"/>
            <w:left w:val="none" w:sz="0" w:space="0" w:color="auto"/>
            <w:bottom w:val="none" w:sz="0" w:space="0" w:color="auto"/>
            <w:right w:val="none" w:sz="0" w:space="0" w:color="auto"/>
          </w:divBdr>
          <w:divsChild>
            <w:div w:id="6853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698">
      <w:bodyDiv w:val="1"/>
      <w:marLeft w:val="120"/>
      <w:marRight w:val="120"/>
      <w:marTop w:val="0"/>
      <w:marBottom w:val="0"/>
      <w:divBdr>
        <w:top w:val="none" w:sz="0" w:space="0" w:color="auto"/>
        <w:left w:val="none" w:sz="0" w:space="0" w:color="auto"/>
        <w:bottom w:val="none" w:sz="0" w:space="0" w:color="auto"/>
        <w:right w:val="none" w:sz="0" w:space="0" w:color="auto"/>
      </w:divBdr>
      <w:divsChild>
        <w:div w:id="1427117223">
          <w:marLeft w:val="0"/>
          <w:marRight w:val="0"/>
          <w:marTop w:val="0"/>
          <w:marBottom w:val="0"/>
          <w:divBdr>
            <w:top w:val="none" w:sz="0" w:space="0" w:color="auto"/>
            <w:left w:val="none" w:sz="0" w:space="0" w:color="auto"/>
            <w:bottom w:val="none" w:sz="0" w:space="0" w:color="auto"/>
            <w:right w:val="none" w:sz="0" w:space="0" w:color="auto"/>
          </w:divBdr>
          <w:divsChild>
            <w:div w:id="7445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vanessa miller</cp:lastModifiedBy>
  <cp:revision>2</cp:revision>
  <dcterms:created xsi:type="dcterms:W3CDTF">2019-03-06T01:16:00Z</dcterms:created>
  <dcterms:modified xsi:type="dcterms:W3CDTF">2019-03-06T01:16:00Z</dcterms:modified>
</cp:coreProperties>
</file>