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E6B75" w14:textId="77777777" w:rsidR="00464A9C" w:rsidRDefault="00000000">
      <w:pPr>
        <w:spacing w:before="360"/>
        <w:jc w:val="center"/>
      </w:pPr>
      <w:r>
        <w:rPr>
          <w:b/>
          <w:color w:val="1E6F6D"/>
          <w:sz w:val="32"/>
        </w:rPr>
        <w:t>V40 VITAL</w:t>
      </w:r>
    </w:p>
    <w:p w14:paraId="053D368F" w14:textId="77777777" w:rsidR="00464A9C" w:rsidRDefault="00000000">
      <w:pPr>
        <w:pStyle w:val="Cm"/>
        <w:jc w:val="center"/>
      </w:pPr>
      <w:r>
        <w:t>MENOPAUSA UTÁN IS AKTÍVAN, EGÉSZSÉGESEN</w:t>
      </w:r>
    </w:p>
    <w:p w14:paraId="1862B144" w14:textId="77777777" w:rsidR="00464A9C" w:rsidRDefault="00000000">
      <w:pPr>
        <w:jc w:val="center"/>
      </w:pPr>
      <w:r>
        <w:rPr>
          <w:color w:val="C59A45"/>
          <w:sz w:val="28"/>
        </w:rPr>
        <w:t>Healthspan és longevity a női élet második felében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464A9C" w14:paraId="6C07251E" w14:textId="77777777">
        <w:trPr>
          <w:jc w:val="center"/>
        </w:trPr>
        <w:tc>
          <w:tcPr>
            <w:tcW w:w="10080" w:type="dxa"/>
            <w:tcBorders>
              <w:left w:val="single" w:sz="18" w:space="0" w:color="1E6F6D"/>
            </w:tcBorders>
            <w:shd w:val="clear" w:color="auto" w:fill="F3F7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D3742B7" w14:textId="77777777" w:rsidR="00464A9C" w:rsidRDefault="00000000">
            <w:pPr>
              <w:spacing w:after="0"/>
            </w:pPr>
            <w:r>
              <w:rPr>
                <w:color w:val="1E2933"/>
                <w:sz w:val="22"/>
              </w:rPr>
              <w:t>A menopauza után még évtizedek következhetnek. A kérdés nemcsak az, hogy hány évig élünk, hanem az is, hogy ezekből hány évet töltünk jó egészségben, aktívan és önállóan.</w:t>
            </w:r>
          </w:p>
        </w:tc>
      </w:tr>
    </w:tbl>
    <w:p w14:paraId="6927EA67" w14:textId="77777777" w:rsidR="00464A9C" w:rsidRDefault="00000000">
      <w:pPr>
        <w:pStyle w:val="Cmsor1"/>
      </w:pPr>
      <w:r>
        <w:t>Miért fontos a menopauza utáni időszak?</w:t>
      </w:r>
    </w:p>
    <w:p w14:paraId="3B587105" w14:textId="77777777" w:rsidR="00464A9C" w:rsidRDefault="00000000">
      <w:r>
        <w:t xml:space="preserve">A menopauza természetes életszakasz, de a hormonális változásokkal együtt a szervezet több területén is átalakulások indulhatnak el. </w:t>
      </w:r>
      <w:r>
        <w:rPr>
          <w:b/>
        </w:rPr>
        <w:t>A szív- és érrendszeri kockázat növekedhet, változhat a testösszetétel, csökkenhet az izomtömeg, nőhet a hasi zsírfelesleg, és a csontok, az alvás, valamint az anyagcsere állapota is nagyobb figyelmet igényelhet.</w:t>
      </w:r>
    </w:p>
    <w:p w14:paraId="4AF4B378" w14:textId="77777777" w:rsidR="00464A9C" w:rsidRDefault="00000000">
      <w:r>
        <w:t>Ezért a menopauza utáni évek nemcsak nőgyógyászati szempontból fontosak. A hosszú távú egészség megőrzéséhez kardiológiai, endokrinológiai, táplálkozási és funkcionális szempontokat is érdemes együtt vizsgálni.</w:t>
      </w:r>
    </w:p>
    <w:p w14:paraId="2895D697" w14:textId="77777777" w:rsidR="00464A9C" w:rsidRDefault="00000000">
      <w:pPr>
        <w:pStyle w:val="Cmsor1"/>
      </w:pPr>
      <w:r>
        <w:t>Mit jelent a healthspan?</w:t>
      </w:r>
    </w:p>
    <w:p w14:paraId="17562A16" w14:textId="77777777" w:rsidR="00464A9C" w:rsidRDefault="00000000">
      <w:r>
        <w:t xml:space="preserve">A lifespan az élet hosszát jelenti, a </w:t>
      </w:r>
      <w:r>
        <w:rPr>
          <w:b/>
        </w:rPr>
        <w:t>healthspan</w:t>
      </w:r>
      <w:r>
        <w:t xml:space="preserve"> pedig azt az időszakot, amelyet jó fizikai és szellemi állapotban, önállóan és lehetőleg krónikus betegségek jelentős korlátozó hatása nélkül élünk meg.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464A9C" w14:paraId="178DD1F5" w14:textId="77777777">
        <w:trPr>
          <w:jc w:val="center"/>
        </w:trPr>
        <w:tc>
          <w:tcPr>
            <w:tcW w:w="10080" w:type="dxa"/>
            <w:tcBorders>
              <w:left w:val="single" w:sz="18" w:space="0" w:color="C59A45"/>
            </w:tcBorders>
            <w:shd w:val="clear" w:color="auto" w:fill="FBF6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F994F8E" w14:textId="77777777" w:rsidR="00464A9C" w:rsidRDefault="00000000">
            <w:pPr>
              <w:spacing w:after="0"/>
            </w:pPr>
            <w:r>
              <w:rPr>
                <w:color w:val="1E2933"/>
                <w:sz w:val="22"/>
              </w:rPr>
              <w:t>A V40 Vital longevity-szemléletének célja nem az „öregedés megállítása”, hanem a módosítható kockázatok korai felismerése és a funkcionális tartalék megőrzése.</w:t>
            </w:r>
          </w:p>
        </w:tc>
      </w:tr>
    </w:tbl>
    <w:p w14:paraId="36BC4F8A" w14:textId="77777777" w:rsidR="00464A9C" w:rsidRDefault="00000000">
      <w:pPr>
        <w:pStyle w:val="Cmsor1"/>
      </w:pPr>
      <w:r>
        <w:t>Mire érdemes különösen figyelni menopauza után?</w:t>
      </w:r>
    </w:p>
    <w:p w14:paraId="71442910" w14:textId="77777777" w:rsidR="00464A9C" w:rsidRDefault="00000000">
      <w:pPr>
        <w:pStyle w:val="Cmsor2"/>
      </w:pPr>
      <w:r>
        <w:t>Szív és érrendszer</w:t>
      </w:r>
    </w:p>
    <w:p w14:paraId="5EE83309" w14:textId="77777777" w:rsidR="00464A9C" w:rsidRDefault="00000000">
      <w:pPr>
        <w:pStyle w:val="Felsorols"/>
        <w:spacing w:after="40"/>
      </w:pPr>
      <w:r>
        <w:t>vérnyomás emelkedése</w:t>
      </w:r>
    </w:p>
    <w:p w14:paraId="0CFAD396" w14:textId="77777777" w:rsidR="00464A9C" w:rsidRDefault="00000000">
      <w:pPr>
        <w:pStyle w:val="Felsorols"/>
        <w:spacing w:after="40"/>
      </w:pPr>
      <w:r>
        <w:t>LDL-koleszterin és más vérzsírértékek romlása</w:t>
      </w:r>
    </w:p>
    <w:p w14:paraId="0D93E9E0" w14:textId="77777777" w:rsidR="00464A9C" w:rsidRDefault="00000000">
      <w:pPr>
        <w:pStyle w:val="Felsorols"/>
        <w:spacing w:after="40"/>
      </w:pPr>
      <w:r>
        <w:t>érelmeszesedési kockázat növekedése</w:t>
      </w:r>
    </w:p>
    <w:p w14:paraId="7E7FFBAE" w14:textId="77777777" w:rsidR="00464A9C" w:rsidRDefault="00000000">
      <w:pPr>
        <w:pStyle w:val="Felsorols"/>
        <w:spacing w:after="40"/>
      </w:pPr>
      <w:r>
        <w:t>cukorbetegség és metabolikus szindróma kockázata</w:t>
      </w:r>
    </w:p>
    <w:p w14:paraId="0EE74317" w14:textId="77777777" w:rsidR="00464A9C" w:rsidRDefault="00000000">
      <w:pPr>
        <w:pStyle w:val="Cmsor2"/>
      </w:pPr>
      <w:r>
        <w:t>Testösszetétel és izomerő</w:t>
      </w:r>
    </w:p>
    <w:p w14:paraId="59058D04" w14:textId="77777777" w:rsidR="00464A9C" w:rsidRDefault="00000000">
      <w:pPr>
        <w:pStyle w:val="Felsorols"/>
        <w:spacing w:after="40"/>
      </w:pPr>
      <w:r>
        <w:t>hasi és zsigeri zsírfelesleg növekedése</w:t>
      </w:r>
    </w:p>
    <w:p w14:paraId="44FFAD1E" w14:textId="77777777" w:rsidR="00464A9C" w:rsidRDefault="00000000">
      <w:pPr>
        <w:pStyle w:val="Felsorols"/>
        <w:spacing w:after="40"/>
      </w:pPr>
      <w:r>
        <w:t>izomtömeg és izomerő csökkenése</w:t>
      </w:r>
    </w:p>
    <w:p w14:paraId="1FA1297F" w14:textId="77777777" w:rsidR="00464A9C" w:rsidRDefault="00000000">
      <w:pPr>
        <w:pStyle w:val="Felsorols"/>
        <w:spacing w:after="40"/>
      </w:pPr>
      <w:r>
        <w:t>romló terhelhetőség és mobilitás</w:t>
      </w:r>
    </w:p>
    <w:p w14:paraId="04C1BF90" w14:textId="77777777" w:rsidR="00464A9C" w:rsidRDefault="00000000">
      <w:pPr>
        <w:pStyle w:val="Felsorols"/>
        <w:spacing w:after="40"/>
      </w:pPr>
      <w:r>
        <w:t>később növekvő elesési és elesésből eredő sérülési kockázat</w:t>
      </w:r>
    </w:p>
    <w:p w14:paraId="17DEA34C" w14:textId="77777777" w:rsidR="00464A9C" w:rsidRDefault="00000000">
      <w:pPr>
        <w:pStyle w:val="Cmsor2"/>
      </w:pPr>
      <w:r>
        <w:t>Csontok</w:t>
      </w:r>
    </w:p>
    <w:p w14:paraId="532B65FD" w14:textId="77777777" w:rsidR="00464A9C" w:rsidRDefault="00000000">
      <w:pPr>
        <w:pStyle w:val="Felsorols"/>
        <w:spacing w:after="40"/>
      </w:pPr>
      <w:r>
        <w:t>csonttömeg csökkenése</w:t>
      </w:r>
    </w:p>
    <w:p w14:paraId="42F46A69" w14:textId="77777777" w:rsidR="00464A9C" w:rsidRDefault="00000000">
      <w:pPr>
        <w:pStyle w:val="Felsorols"/>
        <w:spacing w:after="40"/>
      </w:pPr>
      <w:r>
        <w:lastRenderedPageBreak/>
        <w:t>osteoporosis és törési kockázat felismerése</w:t>
      </w:r>
    </w:p>
    <w:p w14:paraId="35A30D45" w14:textId="77777777" w:rsidR="00464A9C" w:rsidRDefault="00000000">
      <w:pPr>
        <w:pStyle w:val="Felsorols"/>
        <w:spacing w:after="40"/>
      </w:pPr>
      <w:r>
        <w:t>megfelelő mozgás, táplálkozás és szükség esetén célzott kezelés</w:t>
      </w:r>
    </w:p>
    <w:p w14:paraId="4B40E2B6" w14:textId="77777777" w:rsidR="00464A9C" w:rsidRDefault="00000000">
      <w:pPr>
        <w:pStyle w:val="Cmsor2"/>
      </w:pPr>
      <w:r>
        <w:t>Alvás és életminőség</w:t>
      </w:r>
    </w:p>
    <w:p w14:paraId="1346475F" w14:textId="77777777" w:rsidR="00464A9C" w:rsidRDefault="00000000">
      <w:pPr>
        <w:pStyle w:val="Felsorols"/>
        <w:spacing w:after="40"/>
      </w:pPr>
      <w:r>
        <w:t>alvászavar és horkolás/alvási apnoe</w:t>
      </w:r>
    </w:p>
    <w:p w14:paraId="0A2CC688" w14:textId="77777777" w:rsidR="00464A9C" w:rsidRDefault="00000000">
      <w:pPr>
        <w:pStyle w:val="Felsorols"/>
        <w:spacing w:after="40"/>
      </w:pPr>
      <w:r>
        <w:t>fáradékonyság és hangulati problémák</w:t>
      </w:r>
    </w:p>
    <w:p w14:paraId="72C8F9AA" w14:textId="77777777" w:rsidR="00464A9C" w:rsidRDefault="00000000">
      <w:pPr>
        <w:pStyle w:val="Felsorols"/>
        <w:spacing w:after="40"/>
      </w:pPr>
      <w:r>
        <w:t>hőhullámok, éjszakai izzadás vagy tartós menopauzális panaszok</w:t>
      </w:r>
    </w:p>
    <w:p w14:paraId="231ED9AF" w14:textId="77777777" w:rsidR="00464A9C" w:rsidRDefault="00000000">
      <w:pPr>
        <w:pStyle w:val="Cmsor2"/>
      </w:pPr>
      <w:r>
        <w:t>Nőgyógyászati egészség</w:t>
      </w:r>
    </w:p>
    <w:p w14:paraId="7191C9D7" w14:textId="77777777" w:rsidR="00464A9C" w:rsidRDefault="00000000">
      <w:pPr>
        <w:pStyle w:val="Felsorols"/>
        <w:spacing w:after="40"/>
      </w:pPr>
      <w:r>
        <w:t>hüvelyszárazság és genitourináris panaszok</w:t>
      </w:r>
    </w:p>
    <w:p w14:paraId="00F930F3" w14:textId="77777777" w:rsidR="00464A9C" w:rsidRDefault="00000000">
      <w:pPr>
        <w:pStyle w:val="Felsorols"/>
        <w:spacing w:after="40"/>
      </w:pPr>
      <w:r>
        <w:t>szexuális élet változásai</w:t>
      </w:r>
    </w:p>
    <w:p w14:paraId="72D786B5" w14:textId="77777777" w:rsidR="00464A9C" w:rsidRDefault="00000000">
      <w:pPr>
        <w:pStyle w:val="Felsorols"/>
        <w:spacing w:after="40"/>
      </w:pPr>
      <w:r>
        <w:t>életkorhoz igazított nőgyógyászati és daganatmegelőző szűrések</w:t>
      </w:r>
    </w:p>
    <w:p w14:paraId="5157C2F1" w14:textId="77777777" w:rsidR="00464A9C" w:rsidRDefault="00000000">
      <w:pPr>
        <w:pStyle w:val="Cmsor1"/>
      </w:pPr>
      <w:r>
        <w:t>Mit kínál a V40 Vital MENOPAUSE+ Healthspan Program?</w:t>
      </w:r>
    </w:p>
    <w:p w14:paraId="2EDE803A" w14:textId="77777777" w:rsidR="00464A9C" w:rsidRDefault="00000000">
      <w:r>
        <w:t xml:space="preserve">A V40 Vital programban a menopauza utáni egészséget nem egyetlen szerv vagy egyetlen laboreredmény alapján értékeljük. </w:t>
      </w:r>
      <w:r>
        <w:rPr>
          <w:b/>
        </w:rPr>
        <w:t>A cél egy személyre szabott, multidiszciplináris healthspan-terv kialakítása.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64A9C" w14:paraId="3B8D9AB4" w14:textId="77777777">
        <w:trPr>
          <w:jc w:val="center"/>
        </w:trPr>
        <w:tc>
          <w:tcPr>
            <w:tcW w:w="5040" w:type="dxa"/>
            <w:shd w:val="clear" w:color="auto" w:fill="17324D"/>
          </w:tcPr>
          <w:p w14:paraId="28EA0165" w14:textId="77777777" w:rsidR="00464A9C" w:rsidRDefault="00000000">
            <w:r>
              <w:rPr>
                <w:b/>
                <w:color w:val="FFFFFF"/>
              </w:rPr>
              <w:t>Szakember</w:t>
            </w:r>
          </w:p>
        </w:tc>
        <w:tc>
          <w:tcPr>
            <w:tcW w:w="5040" w:type="dxa"/>
            <w:shd w:val="clear" w:color="auto" w:fill="17324D"/>
          </w:tcPr>
          <w:p w14:paraId="34444EBE" w14:textId="77777777" w:rsidR="00464A9C" w:rsidRDefault="00000000">
            <w:r>
              <w:rPr>
                <w:b/>
                <w:color w:val="FFFFFF"/>
              </w:rPr>
              <w:t>Fő feladat</w:t>
            </w:r>
          </w:p>
        </w:tc>
      </w:tr>
      <w:tr w:rsidR="00464A9C" w14:paraId="46ADF998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4B066" w14:textId="77777777" w:rsidR="00464A9C" w:rsidRDefault="00000000">
            <w:r>
              <w:t>Kardiológus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01E10" w14:textId="77777777" w:rsidR="00464A9C" w:rsidRDefault="00000000">
            <w:r>
              <w:t>A cardiovascularis kockázat, vérnyomás, lipidprofil és szükség szerint az érrendszer állapotának értékelése.</w:t>
            </w:r>
          </w:p>
        </w:tc>
      </w:tr>
      <w:tr w:rsidR="00464A9C" w14:paraId="0E5B38A3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D1563" w14:textId="77777777" w:rsidR="00464A9C" w:rsidRDefault="00000000">
            <w:r>
              <w:t>Nőgyógyász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A3048" w14:textId="77777777" w:rsidR="00464A9C" w:rsidRDefault="00000000">
            <w:r>
              <w:t>Menopauzális és genitourináris tünetek, nőgyógyászati prevenció, valamint szükség esetén hormonterápiás lehetőségek mérlegelése.</w:t>
            </w:r>
          </w:p>
        </w:tc>
      </w:tr>
      <w:tr w:rsidR="00464A9C" w14:paraId="01860ABD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89011" w14:textId="77777777" w:rsidR="00464A9C" w:rsidRDefault="00000000">
            <w:r>
              <w:t>Endokrinológus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BC79F" w14:textId="77777777" w:rsidR="00464A9C" w:rsidRDefault="00000000">
            <w:r>
              <w:t>Anyagcsere, pajzsmirigy, testsúly, diabetes-kockázat és csontanyagcsere értékelése.</w:t>
            </w:r>
          </w:p>
        </w:tc>
      </w:tr>
      <w:tr w:rsidR="00464A9C" w14:paraId="4515432E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69E53" w14:textId="77777777" w:rsidR="00464A9C" w:rsidRDefault="00000000">
            <w:r>
              <w:t>Dietetikus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48955" w14:textId="77777777" w:rsidR="00464A9C" w:rsidRDefault="00000000">
            <w:r>
              <w:t>Személyre szabott, mediterrán jellegű táplálkozás, testsúly- és testösszetétel-célok támogatása.</w:t>
            </w:r>
          </w:p>
        </w:tc>
      </w:tr>
    </w:tbl>
    <w:p w14:paraId="5BBF0DDE" w14:textId="77777777" w:rsidR="00464A9C" w:rsidRDefault="00000000">
      <w:pPr>
        <w:pStyle w:val="Cmsor1"/>
      </w:pPr>
      <w:r>
        <w:t>Mit vizsgálhatunk?</w:t>
      </w:r>
    </w:p>
    <w:p w14:paraId="4B83F130" w14:textId="77777777" w:rsidR="00464A9C" w:rsidRDefault="00000000">
      <w:pPr>
        <w:pStyle w:val="Felsorols"/>
        <w:spacing w:after="40"/>
      </w:pPr>
      <w:r>
        <w:t>vérnyomás, EKG és cardiovascularis rizikó</w:t>
      </w:r>
    </w:p>
    <w:p w14:paraId="1FC89BBA" w14:textId="77777777" w:rsidR="00464A9C" w:rsidRDefault="00000000">
      <w:pPr>
        <w:pStyle w:val="Felsorols"/>
        <w:spacing w:after="40"/>
      </w:pPr>
      <w:r>
        <w:t>labor: vércukor, HbA1c, vérzsírok, vesefunkció és egyéb szükséges paraméterek</w:t>
      </w:r>
    </w:p>
    <w:p w14:paraId="6E0AE783" w14:textId="77777777" w:rsidR="00464A9C" w:rsidRDefault="00000000">
      <w:pPr>
        <w:pStyle w:val="Felsorols"/>
        <w:spacing w:after="40"/>
      </w:pPr>
      <w:r>
        <w:t>SECA testösszetétel: testzsír, zsigeri zsírfelesleg, izomtömeg</w:t>
      </w:r>
    </w:p>
    <w:p w14:paraId="33608E97" w14:textId="77777777" w:rsidR="00464A9C" w:rsidRDefault="00000000">
      <w:pPr>
        <w:pStyle w:val="Felsorols"/>
        <w:spacing w:after="40"/>
      </w:pPr>
      <w:r>
        <w:t>izomerő és funkcionális állapot</w:t>
      </w:r>
    </w:p>
    <w:p w14:paraId="1A4B1664" w14:textId="77777777" w:rsidR="00464A9C" w:rsidRDefault="00000000">
      <w:pPr>
        <w:pStyle w:val="Felsorols"/>
        <w:spacing w:after="40"/>
      </w:pPr>
      <w:r>
        <w:t>csontanyagcsere és szükség esetén csontsűrűség-vizsgálat</w:t>
      </w:r>
    </w:p>
    <w:p w14:paraId="4DA6C482" w14:textId="77777777" w:rsidR="00464A9C" w:rsidRDefault="00000000">
      <w:pPr>
        <w:pStyle w:val="Felsorols"/>
        <w:spacing w:after="40"/>
      </w:pPr>
      <w:r>
        <w:t>alvás, fizikai aktivitás és életmódi szokások</w:t>
      </w:r>
    </w:p>
    <w:p w14:paraId="11CD8253" w14:textId="77777777" w:rsidR="00464A9C" w:rsidRDefault="00000000">
      <w:pPr>
        <w:pStyle w:val="Felsorols"/>
        <w:spacing w:after="40"/>
      </w:pPr>
      <w:r>
        <w:t>nőgyógyászati állapot és életkorhoz igazított preventív vizsgálatok</w:t>
      </w:r>
    </w:p>
    <w:p w14:paraId="140D6E7D" w14:textId="77777777" w:rsidR="00464A9C" w:rsidRDefault="00000000">
      <w:pPr>
        <w:pStyle w:val="Cmsor1"/>
      </w:pPr>
      <w:r>
        <w:t>És mi a helyzet a hormonterápiával?</w:t>
      </w:r>
    </w:p>
    <w:p w14:paraId="62547E0F" w14:textId="77777777" w:rsidR="00464A9C" w:rsidRDefault="00000000">
      <w:r>
        <w:t xml:space="preserve">A menopauzális hormonterápia bizonyos tünetek és állapotok kezelésében fontos lehet, de </w:t>
      </w:r>
      <w:r>
        <w:rPr>
          <w:b/>
        </w:rPr>
        <w:t>nem általános „longevity-kezelés”, és nem önmagában a szívbetegség megelőzésére szolgál.</w:t>
      </w:r>
      <w:r>
        <w:t xml:space="preserve"> A döntést minden esetben </w:t>
      </w:r>
      <w:r>
        <w:lastRenderedPageBreak/>
        <w:t>az egyéni tünetek, életkor, a menopauza óta eltelt idő, a nőgyógyászati előzmények és a cardiovascularis kockázat alapján kell meghozni.</w:t>
      </w:r>
    </w:p>
    <w:p w14:paraId="5E74FEAF" w14:textId="77777777" w:rsidR="00464A9C" w:rsidRDefault="00000000">
      <w:pPr>
        <w:pStyle w:val="Cmsor1"/>
      </w:pPr>
      <w:r>
        <w:t>Kinek ajánljuk különösen?</w:t>
      </w:r>
    </w:p>
    <w:p w14:paraId="495B555E" w14:textId="77777777" w:rsidR="00464A9C" w:rsidRDefault="00000000">
      <w:pPr>
        <w:pStyle w:val="Felsorols"/>
        <w:spacing w:after="40"/>
      </w:pPr>
      <w:r>
        <w:t>minden olyan nőnek, aki a menopauza után tudatosan szeretné megőrizni egészségét és fizikai önállóságát;</w:t>
      </w:r>
    </w:p>
    <w:p w14:paraId="4FE6D02A" w14:textId="77777777" w:rsidR="00464A9C" w:rsidRDefault="00000000">
      <w:pPr>
        <w:pStyle w:val="Felsorols"/>
        <w:spacing w:after="40"/>
      </w:pPr>
      <w:r>
        <w:t>magas vérnyomás, emelkedett koleszterin, prediabetes vagy diabetes esetén;</w:t>
      </w:r>
    </w:p>
    <w:p w14:paraId="64CCAD01" w14:textId="77777777" w:rsidR="00464A9C" w:rsidRDefault="00000000">
      <w:pPr>
        <w:pStyle w:val="Felsorols"/>
        <w:spacing w:after="40"/>
      </w:pPr>
      <w:r>
        <w:t>hasi elhízás, testsúlynövekedés vagy testösszetétel-romlás esetén;</w:t>
      </w:r>
    </w:p>
    <w:p w14:paraId="1B15DFB9" w14:textId="77777777" w:rsidR="00464A9C" w:rsidRDefault="00000000">
      <w:pPr>
        <w:pStyle w:val="Felsorols"/>
        <w:spacing w:after="40"/>
      </w:pPr>
      <w:r>
        <w:t>csökkenő izomerő vagy terhelhetőség mellett;</w:t>
      </w:r>
    </w:p>
    <w:p w14:paraId="31348650" w14:textId="77777777" w:rsidR="00464A9C" w:rsidRDefault="00000000">
      <w:pPr>
        <w:pStyle w:val="Felsorols"/>
        <w:spacing w:after="40"/>
      </w:pPr>
      <w:r>
        <w:t>korai vagy műtéti menopauza után;</w:t>
      </w:r>
    </w:p>
    <w:p w14:paraId="47117731" w14:textId="77777777" w:rsidR="00464A9C" w:rsidRDefault="00000000">
      <w:pPr>
        <w:pStyle w:val="Felsorols"/>
        <w:spacing w:after="40"/>
      </w:pPr>
      <w:r>
        <w:t>tartós hőhullám, alvászavar vagy más menopauzális panasz esetén;</w:t>
      </w:r>
    </w:p>
    <w:p w14:paraId="04165B43" w14:textId="77777777" w:rsidR="00464A9C" w:rsidRDefault="00000000">
      <w:pPr>
        <w:pStyle w:val="Felsorols"/>
        <w:spacing w:after="40"/>
      </w:pPr>
      <w:r>
        <w:t>ha hormonterápia felmerül, vagy annak folytatását szeretné orvossal újraértékelni.</w:t>
      </w:r>
    </w:p>
    <w:p w14:paraId="68B7BF40" w14:textId="77777777" w:rsidR="00464A9C" w:rsidRDefault="00000000">
      <w:pPr>
        <w:pStyle w:val="Cmsor1"/>
      </w:pPr>
      <w:r>
        <w:t>Hogyan zajlik a program?</w:t>
      </w:r>
    </w:p>
    <w:p w14:paraId="6C30F701" w14:textId="77777777" w:rsidR="00464A9C" w:rsidRDefault="00000000">
      <w:pPr>
        <w:spacing w:after="60"/>
      </w:pPr>
      <w:r>
        <w:rPr>
          <w:b/>
          <w:color w:val="1E6F6D"/>
        </w:rPr>
        <w:t xml:space="preserve">1. </w:t>
      </w:r>
      <w:r>
        <w:t>Előzetes egészségi és menopauza-kérdőív.</w:t>
      </w:r>
    </w:p>
    <w:p w14:paraId="2D80CBC3" w14:textId="77777777" w:rsidR="00464A9C" w:rsidRDefault="00000000">
      <w:pPr>
        <w:spacing w:after="60"/>
      </w:pPr>
      <w:r>
        <w:rPr>
          <w:b/>
          <w:color w:val="1E6F6D"/>
        </w:rPr>
        <w:t xml:space="preserve">2. </w:t>
      </w:r>
      <w:r>
        <w:t>Komplex V40 Vital állapotfelmérés és Healthspan Index.</w:t>
      </w:r>
    </w:p>
    <w:p w14:paraId="4115CEFB" w14:textId="77777777" w:rsidR="00464A9C" w:rsidRDefault="00000000">
      <w:pPr>
        <w:spacing w:after="60"/>
      </w:pPr>
      <w:r>
        <w:rPr>
          <w:b/>
          <w:color w:val="1E6F6D"/>
        </w:rPr>
        <w:t xml:space="preserve">3. </w:t>
      </w:r>
      <w:r>
        <w:t>Kardiológiai, nőgyógyászati, endokrinológiai és dietetikai értékelés a szükségletek szerint.</w:t>
      </w:r>
    </w:p>
    <w:p w14:paraId="7CB25689" w14:textId="77777777" w:rsidR="00464A9C" w:rsidRDefault="00000000">
      <w:pPr>
        <w:spacing w:after="60"/>
      </w:pPr>
      <w:r>
        <w:rPr>
          <w:b/>
          <w:color w:val="1E6F6D"/>
        </w:rPr>
        <w:t xml:space="preserve">4. </w:t>
      </w:r>
      <w:r>
        <w:t>Személyre szabott 12 hónapos prevenciós és életmódterv.</w:t>
      </w:r>
    </w:p>
    <w:p w14:paraId="60AEC06D" w14:textId="77777777" w:rsidR="00464A9C" w:rsidRDefault="00000000">
      <w:pPr>
        <w:spacing w:after="60"/>
      </w:pPr>
      <w:r>
        <w:rPr>
          <w:b/>
          <w:color w:val="1E6F6D"/>
        </w:rPr>
        <w:t xml:space="preserve">5. </w:t>
      </w:r>
      <w:r>
        <w:t>3, 6 és 12 hónapos kontroll, a változások objektív újramérésével.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464A9C" w14:paraId="78A61656" w14:textId="77777777">
        <w:trPr>
          <w:jc w:val="center"/>
        </w:trPr>
        <w:tc>
          <w:tcPr>
            <w:tcW w:w="10080" w:type="dxa"/>
            <w:tcBorders>
              <w:left w:val="single" w:sz="18" w:space="0" w:color="C59A45"/>
            </w:tcBorders>
            <w:shd w:val="clear" w:color="auto" w:fill="FBF6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B18FCC7" w14:textId="77777777" w:rsidR="00464A9C" w:rsidRDefault="00000000">
            <w:pPr>
              <w:spacing w:after="0"/>
            </w:pPr>
            <w:r>
              <w:rPr>
                <w:color w:val="1E2933"/>
                <w:sz w:val="22"/>
              </w:rPr>
              <w:t>A menopauza nem az egészségvesztés kezdete. Megfelelő szűréssel, célértékekkel, mozgással, táplálkozással és orvosi követéssel sokat tehetünk azért, hogy az előttünk álló évtizedeket minél jobb egészségben töltsük.</w:t>
            </w:r>
          </w:p>
        </w:tc>
      </w:tr>
    </w:tbl>
    <w:p w14:paraId="16B3DC5A" w14:textId="77777777" w:rsidR="00464A9C" w:rsidRDefault="00000000">
      <w:pPr>
        <w:spacing w:before="240"/>
        <w:jc w:val="center"/>
      </w:pPr>
      <w:r>
        <w:rPr>
          <w:b/>
          <w:color w:val="17324D"/>
          <w:sz w:val="28"/>
        </w:rPr>
        <w:t>V40 VITAL MENOPAUSE+ HEALTHSPAN PROGRAM</w:t>
      </w:r>
    </w:p>
    <w:p w14:paraId="0D192CF5" w14:textId="77777777" w:rsidR="00464A9C" w:rsidRDefault="00000000">
      <w:pPr>
        <w:jc w:val="center"/>
      </w:pPr>
      <w:r>
        <w:rPr>
          <w:i/>
          <w:color w:val="1E6F6D"/>
        </w:rPr>
        <w:t>Komplex prevenció a női élet második felére.</w:t>
      </w:r>
    </w:p>
    <w:p w14:paraId="19DE78B1" w14:textId="77777777" w:rsidR="00464A9C" w:rsidRDefault="00000000">
      <w:pPr>
        <w:pStyle w:val="Cmsor2"/>
      </w:pPr>
      <w:r>
        <w:t>Szakmai háttér</w:t>
      </w:r>
    </w:p>
    <w:p w14:paraId="06C8CEEF" w14:textId="77777777" w:rsidR="00464A9C" w:rsidRDefault="00000000">
      <w:r>
        <w:rPr>
          <w:color w:val="65727D"/>
          <w:sz w:val="17"/>
        </w:rPr>
        <w:t>A tájékoztató szakmai alapja: El Khoudary SR, Aggarwal B, Beckie TM, et al. Menopause Transition and Cardiovascular Disease Risk: Implications for Timing of Early Prevention. Circulation. 2020;142:e506–e532.</w:t>
      </w:r>
    </w:p>
    <w:p w14:paraId="60B755E1" w14:textId="77777777" w:rsidR="00464A9C" w:rsidRDefault="00000000">
      <w:r>
        <w:rPr>
          <w:i/>
          <w:color w:val="65727D"/>
          <w:sz w:val="17"/>
        </w:rPr>
        <w:t>A V40 Vital program egyéni orvosi állapotfelmérésre épül. A tájékoztató nem helyettesíti a személyes orvosi vizsgálatot.</w:t>
      </w:r>
    </w:p>
    <w:sectPr w:rsidR="00464A9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CFFE4D" w14:textId="77777777" w:rsidR="001E0797" w:rsidRDefault="001E0797">
      <w:pPr>
        <w:spacing w:after="0" w:line="240" w:lineRule="auto"/>
      </w:pPr>
      <w:r>
        <w:separator/>
      </w:r>
    </w:p>
  </w:endnote>
  <w:endnote w:type="continuationSeparator" w:id="0">
    <w:p w14:paraId="132F040D" w14:textId="77777777" w:rsidR="001E0797" w:rsidRDefault="001E0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64E52" w14:textId="77777777" w:rsidR="00464A9C" w:rsidRDefault="00000000">
    <w:pPr>
      <w:pStyle w:val="llb"/>
      <w:jc w:val="center"/>
    </w:pPr>
    <w:proofErr w:type="spellStart"/>
    <w:r>
      <w:rPr>
        <w:color w:val="65727D"/>
        <w:sz w:val="16"/>
      </w:rPr>
      <w:t>Tájékoztató</w:t>
    </w:r>
    <w:proofErr w:type="spellEnd"/>
    <w:r>
      <w:rPr>
        <w:color w:val="65727D"/>
        <w:sz w:val="16"/>
      </w:rPr>
      <w:t xml:space="preserve"> </w:t>
    </w:r>
    <w:proofErr w:type="spellStart"/>
    <w:r>
      <w:rPr>
        <w:color w:val="65727D"/>
        <w:sz w:val="16"/>
      </w:rPr>
      <w:t>anyag</w:t>
    </w:r>
    <w:proofErr w:type="spellEnd"/>
    <w:r>
      <w:rPr>
        <w:color w:val="65727D"/>
        <w:sz w:val="16"/>
      </w:rPr>
      <w:t xml:space="preserve"> – V40 Vital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E8D6B" w14:textId="77777777" w:rsidR="001E0797" w:rsidRDefault="001E0797">
      <w:pPr>
        <w:spacing w:after="0" w:line="240" w:lineRule="auto"/>
      </w:pPr>
      <w:r>
        <w:separator/>
      </w:r>
    </w:p>
  </w:footnote>
  <w:footnote w:type="continuationSeparator" w:id="0">
    <w:p w14:paraId="47C10D2F" w14:textId="77777777" w:rsidR="001E0797" w:rsidRDefault="001E0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1BF6D" w14:textId="77777777" w:rsidR="00464A9C" w:rsidRDefault="00000000">
    <w:pPr>
      <w:pStyle w:val="lfej"/>
      <w:jc w:val="right"/>
    </w:pPr>
    <w:r>
      <w:rPr>
        <w:color w:val="1E6F6D"/>
        <w:sz w:val="16"/>
      </w:rPr>
      <w:t xml:space="preserve">V40 </w:t>
    </w:r>
    <w:proofErr w:type="gramStart"/>
    <w:r>
      <w:rPr>
        <w:color w:val="1E6F6D"/>
        <w:sz w:val="16"/>
      </w:rPr>
      <w:t>VITAL  |</w:t>
    </w:r>
    <w:proofErr w:type="gramEnd"/>
    <w:r>
      <w:rPr>
        <w:color w:val="1E6F6D"/>
        <w:sz w:val="16"/>
      </w:rPr>
      <w:t xml:space="preserve">  WOMEN'S HEALTHSPAN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004899">
    <w:abstractNumId w:val="8"/>
  </w:num>
  <w:num w:numId="2" w16cid:durableId="379982753">
    <w:abstractNumId w:val="6"/>
  </w:num>
  <w:num w:numId="3" w16cid:durableId="330110304">
    <w:abstractNumId w:val="5"/>
  </w:num>
  <w:num w:numId="4" w16cid:durableId="2010713983">
    <w:abstractNumId w:val="4"/>
  </w:num>
  <w:num w:numId="5" w16cid:durableId="75825719">
    <w:abstractNumId w:val="7"/>
  </w:num>
  <w:num w:numId="6" w16cid:durableId="345835074">
    <w:abstractNumId w:val="3"/>
  </w:num>
  <w:num w:numId="7" w16cid:durableId="304507435">
    <w:abstractNumId w:val="2"/>
  </w:num>
  <w:num w:numId="8" w16cid:durableId="923883442">
    <w:abstractNumId w:val="1"/>
  </w:num>
  <w:num w:numId="9" w16cid:durableId="4149784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797"/>
    <w:rsid w:val="0029639D"/>
    <w:rsid w:val="00326F90"/>
    <w:rsid w:val="00464A9C"/>
    <w:rsid w:val="00880411"/>
    <w:rsid w:val="00AA1D8D"/>
    <w:rsid w:val="00B47730"/>
    <w:rsid w:val="00C07228"/>
    <w:rsid w:val="00CB0664"/>
    <w:rsid w:val="00CE2BA0"/>
    <w:rsid w:val="00DC2B03"/>
    <w:rsid w:val="00F32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CF71A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6F6D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4533</Characters>
  <Application>Microsoft Office Word</Application>
  <DocSecurity>0</DocSecurity>
  <Lines>96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Andras Vertes</cp:lastModifiedBy>
  <cp:revision>2</cp:revision>
  <dcterms:created xsi:type="dcterms:W3CDTF">2026-08-14T15:57:00Z</dcterms:created>
  <dcterms:modified xsi:type="dcterms:W3CDTF">2026-08-14T15:57:00Z</dcterms:modified>
  <cp:category/>
</cp:coreProperties>
</file>