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2712D2">
        <w:rPr>
          <w:rFonts w:ascii="Times New Roman" w:hAnsi="Times New Roman" w:cs="Times New Roman"/>
          <w:sz w:val="24"/>
        </w:rPr>
        <w:t xml:space="preserve"> </w:t>
      </w:r>
      <w:r w:rsidR="003F37AA">
        <w:rPr>
          <w:rFonts w:ascii="Times New Roman" w:hAnsi="Times New Roman" w:cs="Times New Roman"/>
          <w:sz w:val="24"/>
        </w:rPr>
        <w:t>(sl. 6.6)</w:t>
      </w:r>
      <w:r w:rsidR="00186694">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502729" cy="1684867"/>
            <wp:effectExtent l="0" t="0" r="317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6120" cy="1685905"/>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175C56" w:rsidRDefault="00175C56" w:rsidP="0065781E">
      <w:pPr>
        <w:contextualSpacing/>
        <w:jc w:val="both"/>
        <w:rPr>
          <w:rFonts w:ascii="Times New Roman" w:hAnsi="Times New Roman" w:cs="Times New Roman"/>
          <w:sz w:val="24"/>
          <w:szCs w:val="20"/>
        </w:rPr>
      </w:pP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7"/>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8"/>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9"/>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0"/>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6"/>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Pr>
          <w:rStyle w:val="Sprotnaopomba-sklic"/>
          <w:rFonts w:ascii="Times New Roman" w:hAnsi="Times New Roman" w:cs="Times New Roman"/>
          <w:sz w:val="24"/>
          <w:szCs w:val="20"/>
        </w:rPr>
        <w:footnoteReference w:id="17"/>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8"/>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9"/>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20"/>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8A269F"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5C354C">
        <w:rPr>
          <w:rFonts w:ascii="Times New Roman" w:hAnsi="Times New Roman" w:cs="Times New Roman"/>
          <w:sz w:val="24"/>
          <w:szCs w:val="20"/>
        </w:rPr>
        <w:t xml:space="preserve"> V razvoju video iger obstajajo neke osrednje usmeritve, ki omogočajo uspeh projektov</w:t>
      </w:r>
      <w:r w:rsidR="008D2F6B">
        <w:rPr>
          <w:rFonts w:ascii="Times New Roman" w:hAnsi="Times New Roman" w:cs="Times New Roman"/>
          <w:sz w:val="24"/>
          <w:szCs w:val="20"/>
        </w:rPr>
        <w:t>.</w:t>
      </w:r>
    </w:p>
    <w:p w:rsidR="00B61CF6" w:rsidRDefault="00610E4B" w:rsidP="000C57EC">
      <w:pPr>
        <w:contextualSpacing/>
        <w:jc w:val="both"/>
        <w:rPr>
          <w:rFonts w:ascii="Times New Roman" w:hAnsi="Times New Roman" w:cs="Times New Roman"/>
          <w:sz w:val="24"/>
          <w:szCs w:val="20"/>
        </w:rPr>
      </w:pPr>
      <w:r>
        <w:rPr>
          <w:rFonts w:ascii="Times New Roman" w:hAnsi="Times New Roman" w:cs="Times New Roman"/>
          <w:sz w:val="24"/>
          <w:szCs w:val="20"/>
        </w:rPr>
        <w:t>P</w:t>
      </w:r>
      <w:r w:rsidR="00FF4A15">
        <w:rPr>
          <w:rFonts w:ascii="Times New Roman" w:hAnsi="Times New Roman" w:cs="Times New Roman"/>
          <w:sz w:val="24"/>
          <w:szCs w:val="20"/>
        </w:rPr>
        <w:t>otrebno</w:t>
      </w:r>
      <w:r>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 Večina podjetij je</w:t>
      </w:r>
      <w:r w:rsidR="00AB049E">
        <w:rPr>
          <w:rFonts w:ascii="Times New Roman" w:hAnsi="Times New Roman" w:cs="Times New Roman"/>
          <w:sz w:val="24"/>
          <w:szCs w:val="20"/>
        </w:rPr>
        <w:t xml:space="preserve"> </w:t>
      </w:r>
      <w:r w:rsidR="00A14887">
        <w:rPr>
          <w:rFonts w:ascii="Times New Roman" w:hAnsi="Times New Roman" w:cs="Times New Roman"/>
          <w:sz w:val="24"/>
          <w:szCs w:val="20"/>
        </w:rPr>
        <w:t>posvojila Scrum metodologijo</w:t>
      </w:r>
      <w:r w:rsidR="001D7D5B">
        <w:rPr>
          <w:rFonts w:ascii="Times New Roman" w:hAnsi="Times New Roman" w:cs="Times New Roman"/>
          <w:sz w:val="24"/>
          <w:szCs w:val="20"/>
        </w:rPr>
        <w:t xml:space="preserve">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126A47"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w:t>
      </w:r>
      <w:r w:rsidR="00F92280">
        <w:rPr>
          <w:rFonts w:ascii="Times New Roman" w:hAnsi="Times New Roman" w:cs="Times New Roman"/>
          <w:sz w:val="24"/>
          <w:szCs w:val="20"/>
        </w:rPr>
        <w:t>Orodja kot so: Scrumwise, Kanbanery, Yodiz, ZenHub, Leankit, Jira, Trello, so idealna za spremljanje nalog, saj omogočajo kreiranje Kanban tabel. Poleg tega omogočajo tudi komunikacijo med ekipami in integracijo z GitHub</w:t>
      </w:r>
      <w:r w:rsidR="00F92280">
        <w:rPr>
          <w:rStyle w:val="Sprotnaopomba-sklic"/>
          <w:rFonts w:ascii="Times New Roman" w:hAnsi="Times New Roman" w:cs="Times New Roman"/>
          <w:sz w:val="24"/>
          <w:szCs w:val="20"/>
        </w:rPr>
        <w:footnoteReference w:id="21"/>
      </w:r>
      <w:r w:rsidR="00F92280">
        <w:rPr>
          <w:rFonts w:ascii="Times New Roman" w:hAnsi="Times New Roman" w:cs="Times New Roman"/>
          <w:sz w:val="24"/>
          <w:szCs w:val="20"/>
        </w:rPr>
        <w:t>. Poleg teh poznamo še Fat Panda, Pivotal Tracker, Active Collab, HacknPlan, Asana in Slack. Orodja lahko omogočajo tudi definiranje t.i. Gantt</w:t>
      </w:r>
      <w:r w:rsidR="00F92280">
        <w:rPr>
          <w:rStyle w:val="Sprotnaopomba-sklic"/>
          <w:rFonts w:ascii="Times New Roman" w:hAnsi="Times New Roman" w:cs="Times New Roman"/>
          <w:sz w:val="24"/>
          <w:szCs w:val="20"/>
        </w:rPr>
        <w:footnoteReference w:id="22"/>
      </w:r>
      <w:r w:rsidR="00F92280">
        <w:rPr>
          <w:rFonts w:ascii="Times New Roman" w:hAnsi="Times New Roman" w:cs="Times New Roman"/>
          <w:sz w:val="24"/>
          <w:szCs w:val="20"/>
        </w:rPr>
        <w:t xml:space="preserve"> ali PERT</w:t>
      </w:r>
      <w:r w:rsidR="00F92280">
        <w:rPr>
          <w:rStyle w:val="Sprotnaopomba-sklic"/>
          <w:rFonts w:ascii="Times New Roman" w:hAnsi="Times New Roman" w:cs="Times New Roman"/>
          <w:sz w:val="24"/>
          <w:szCs w:val="20"/>
        </w:rPr>
        <w:footnoteReference w:id="23"/>
      </w:r>
      <w:r w:rsidR="00F92280">
        <w:rPr>
          <w:rFonts w:ascii="Times New Roman" w:hAnsi="Times New Roman" w:cs="Times New Roman"/>
          <w:sz w:val="24"/>
          <w:szCs w:val="20"/>
        </w:rPr>
        <w:t xml:space="preserve"> grafov, ki zadostijo definiranjem časovnih načrtov.</w:t>
      </w:r>
      <w:r w:rsidR="00941A10">
        <w:rPr>
          <w:rFonts w:ascii="Times New Roman" w:hAnsi="Times New Roman" w:cs="Times New Roman"/>
          <w:sz w:val="24"/>
          <w:szCs w:val="20"/>
        </w:rPr>
        <w:t xml:space="preserve"> Novi paketi</w:t>
      </w:r>
      <w:r w:rsidR="00056D70">
        <w:rPr>
          <w:rFonts w:ascii="Times New Roman" w:hAnsi="Times New Roman" w:cs="Times New Roman"/>
          <w:sz w:val="24"/>
          <w:szCs w:val="20"/>
        </w:rPr>
        <w:t xml:space="preserve"> takšnih</w:t>
      </w:r>
      <w:r w:rsidR="00941A10">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sidR="00941A10">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 xml:space="preserve">Za lažjo odločitev lahko uporabimo analitični hierarhični proces,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w:t>
      </w:r>
      <w:r w:rsidR="00E571CE">
        <w:rPr>
          <w:rFonts w:ascii="Times New Roman" w:hAnsi="Times New Roman" w:cs="Times New Roman"/>
          <w:sz w:val="24"/>
          <w:szCs w:val="20"/>
        </w:rPr>
        <w:lastRenderedPageBreak/>
        <w:t>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C708C6"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 različic programa in takojšnjo ponastavitev na stanje različice, ki ustreza specifikaciji.</w:t>
      </w:r>
      <w:bookmarkStart w:id="0" w:name="_GoBack"/>
      <w:bookmarkEnd w:id="0"/>
    </w:p>
    <w:p w:rsidR="009C115C" w:rsidRDefault="009C115C" w:rsidP="000C57EC">
      <w:pPr>
        <w:contextualSpacing/>
        <w:jc w:val="both"/>
        <w:rPr>
          <w:rFonts w:ascii="Times New Roman" w:hAnsi="Times New Roman" w:cs="Times New Roman"/>
          <w:sz w:val="24"/>
          <w:szCs w:val="20"/>
        </w:rPr>
      </w:pPr>
    </w:p>
    <w:p w:rsidR="004B60D6" w:rsidRPr="00825CDE" w:rsidRDefault="004B60D6" w:rsidP="000C57EC">
      <w:pPr>
        <w:contextualSpacing/>
        <w:jc w:val="both"/>
        <w:rPr>
          <w:rFonts w:ascii="Times New Roman" w:hAnsi="Times New Roman" w:cs="Times New Roman"/>
          <w:sz w:val="24"/>
          <w:szCs w:val="20"/>
        </w:rPr>
      </w:pPr>
    </w:p>
    <w:sectPr w:rsidR="004B60D6" w:rsidRPr="0082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493" w:rsidRDefault="002D5493" w:rsidP="009A65A9">
      <w:pPr>
        <w:spacing w:after="0" w:line="240" w:lineRule="auto"/>
      </w:pPr>
      <w:r>
        <w:separator/>
      </w:r>
    </w:p>
  </w:endnote>
  <w:endnote w:type="continuationSeparator" w:id="0">
    <w:p w:rsidR="002D5493" w:rsidRDefault="002D5493"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493" w:rsidRDefault="002D5493" w:rsidP="009A65A9">
      <w:pPr>
        <w:spacing w:after="0" w:line="240" w:lineRule="auto"/>
      </w:pPr>
      <w:r>
        <w:separator/>
      </w:r>
    </w:p>
  </w:footnote>
  <w:footnote w:type="continuationSeparator" w:id="0">
    <w:p w:rsidR="002D5493" w:rsidRDefault="002D5493" w:rsidP="009A65A9">
      <w:pPr>
        <w:spacing w:after="0" w:line="240" w:lineRule="auto"/>
      </w:pPr>
      <w:r>
        <w:continuationSeparator/>
      </w:r>
    </w:p>
  </w:footnote>
  <w:footnote w:id="1">
    <w:p w:rsidR="00FB7996" w:rsidRDefault="00FB7996" w:rsidP="00D504D2">
      <w:pPr>
        <w:pStyle w:val="Sprotnaopomba-besedilo"/>
      </w:pPr>
      <w:r>
        <w:rPr>
          <w:rStyle w:val="Sprotnaopomba-sklic"/>
        </w:rPr>
        <w:footnoteRef/>
      </w:r>
      <w:r>
        <w:t xml:space="preserve"> Institute of Electrical and Electronic Engineers – IEEE.</w:t>
      </w:r>
    </w:p>
  </w:footnote>
  <w:footnote w:id="2">
    <w:p w:rsidR="00FB7996" w:rsidRDefault="00FB7996">
      <w:pPr>
        <w:pStyle w:val="Sprotnaopomba-besedilo"/>
      </w:pPr>
      <w:r>
        <w:rPr>
          <w:rStyle w:val="Sprotnaopomba-sklic"/>
        </w:rPr>
        <w:footnoteRef/>
      </w:r>
      <w:r>
        <w:t xml:space="preserve"> (angl.) User Experiece-UX.</w:t>
      </w:r>
    </w:p>
  </w:footnote>
  <w:footnote w:id="3">
    <w:p w:rsidR="00FB7996" w:rsidRDefault="00FB7996">
      <w:pPr>
        <w:pStyle w:val="Sprotnaopomba-besedilo"/>
      </w:pPr>
      <w:r>
        <w:rPr>
          <w:rStyle w:val="Sprotnaopomba-sklic"/>
        </w:rPr>
        <w:footnoteRef/>
      </w:r>
      <w:r>
        <w:t xml:space="preserve"> (angl.) Playtesting.</w:t>
      </w:r>
    </w:p>
  </w:footnote>
  <w:footnote w:id="4">
    <w:p w:rsidR="00FB7996" w:rsidRDefault="00FB7996">
      <w:pPr>
        <w:pStyle w:val="Sprotnaopomba-besedilo"/>
      </w:pPr>
      <w:r>
        <w:rPr>
          <w:rStyle w:val="Sprotnaopomba-sklic"/>
        </w:rPr>
        <w:footnoteRef/>
      </w:r>
      <w:r>
        <w:t xml:space="preserve"> 35% manjkajočih vrednosti (Nesodelovanje).</w:t>
      </w:r>
    </w:p>
  </w:footnote>
  <w:footnote w:id="5">
    <w:p w:rsidR="00FB7996" w:rsidRDefault="00FB7996">
      <w:pPr>
        <w:pStyle w:val="Sprotnaopomba-besedilo"/>
      </w:pPr>
      <w:r>
        <w:rPr>
          <w:rStyle w:val="Sprotnaopomba-sklic"/>
        </w:rPr>
        <w:footnoteRef/>
      </w:r>
      <w:r>
        <w:t xml:space="preserve"> Agile Manifesto. Manifesto for Agile Software Development.</w:t>
      </w:r>
    </w:p>
  </w:footnote>
  <w:footnote w:id="6">
    <w:p w:rsidR="00FB7996" w:rsidRDefault="00FB7996">
      <w:pPr>
        <w:pStyle w:val="Sprotnaopomba-besedilo"/>
      </w:pPr>
      <w:r>
        <w:rPr>
          <w:rStyle w:val="Sprotnaopomba-sklic"/>
        </w:rPr>
        <w:footnoteRef/>
      </w:r>
      <w:r>
        <w:t xml:space="preserve"> SoftwareEngineering – Metamodel for Development Methodologies.</w:t>
      </w:r>
    </w:p>
  </w:footnote>
  <w:footnote w:id="7">
    <w:p w:rsidR="00FB7996" w:rsidRDefault="00FB7996">
      <w:pPr>
        <w:pStyle w:val="Sprotnaopomba-besedilo"/>
      </w:pPr>
      <w:r>
        <w:rPr>
          <w:rStyle w:val="Sprotnaopomba-sklic"/>
        </w:rPr>
        <w:footnoteRef/>
      </w:r>
      <w:r>
        <w:t xml:space="preserve"> Software &amp; Systems Process Engineering Meta-Model – SPEM.</w:t>
      </w:r>
    </w:p>
  </w:footnote>
  <w:footnote w:id="8">
    <w:p w:rsidR="00FB7996" w:rsidRDefault="00FB7996">
      <w:pPr>
        <w:pStyle w:val="Sprotnaopomba-besedilo"/>
      </w:pPr>
      <w:r>
        <w:rPr>
          <w:rStyle w:val="Sprotnaopomba-sklic"/>
        </w:rPr>
        <w:footnoteRef/>
      </w:r>
      <w:r>
        <w:t xml:space="preserve"> Object Management Group – OMG.</w:t>
      </w:r>
    </w:p>
  </w:footnote>
  <w:footnote w:id="9">
    <w:p w:rsidR="00FB7996" w:rsidRDefault="00FB7996">
      <w:pPr>
        <w:pStyle w:val="Sprotnaopomba-besedilo"/>
      </w:pPr>
      <w:r>
        <w:rPr>
          <w:rStyle w:val="Sprotnaopomba-sklic"/>
        </w:rPr>
        <w:footnoteRef/>
      </w:r>
      <w:r>
        <w:t xml:space="preserve"> Meta Object Facility – MOF.</w:t>
      </w:r>
    </w:p>
  </w:footnote>
  <w:footnote w:id="10">
    <w:p w:rsidR="00FB7996" w:rsidRDefault="00FB7996" w:rsidP="007669E9">
      <w:pPr>
        <w:pStyle w:val="Sprotnaopomba-besedilo"/>
      </w:pPr>
      <w:r>
        <w:rPr>
          <w:rStyle w:val="Sprotnaopomba-sklic"/>
        </w:rPr>
        <w:footnoteRef/>
      </w:r>
      <w:r>
        <w:t xml:space="preserve"> (angl.) Domain Specific Process Meta Model – DSPMM.</w:t>
      </w:r>
    </w:p>
  </w:footnote>
  <w:footnote w:id="11">
    <w:p w:rsidR="00FB7996" w:rsidRDefault="00FB7996" w:rsidP="007669E9">
      <w:pPr>
        <w:pStyle w:val="Sprotnaopomba-besedilo"/>
      </w:pPr>
      <w:r>
        <w:rPr>
          <w:rStyle w:val="Sprotnaopomba-sklic"/>
        </w:rPr>
        <w:footnoteRef/>
      </w:r>
      <w:r>
        <w:t xml:space="preserve"> (angl.) Abstract Process Meta Model – AMM.</w:t>
      </w:r>
    </w:p>
  </w:footnote>
  <w:footnote w:id="12">
    <w:p w:rsidR="00FB7996" w:rsidRDefault="00FB7996">
      <w:pPr>
        <w:pStyle w:val="Sprotnaopomba-besedilo"/>
      </w:pPr>
      <w:r>
        <w:rPr>
          <w:rStyle w:val="Sprotnaopomba-sklic"/>
        </w:rPr>
        <w:footnoteRef/>
      </w:r>
      <w:r>
        <w:t xml:space="preserve"> Inženiring meta-metod.</w:t>
      </w:r>
    </w:p>
  </w:footnote>
  <w:footnote w:id="13">
    <w:p w:rsidR="00FB7996" w:rsidRDefault="00FB7996">
      <w:pPr>
        <w:pStyle w:val="Sprotnaopomba-besedilo"/>
      </w:pPr>
      <w:r>
        <w:rPr>
          <w:rStyle w:val="Sprotnaopomba-sklic"/>
        </w:rPr>
        <w:footnoteRef/>
      </w:r>
      <w:r>
        <w:t xml:space="preserve"> Meta-Method for Software Engineering Methods.</w:t>
      </w:r>
    </w:p>
  </w:footnote>
  <w:footnote w:id="14">
    <w:p w:rsidR="00FB7996" w:rsidRDefault="00FB7996" w:rsidP="009B4A51">
      <w:pPr>
        <w:pStyle w:val="Sprotnaopomba-besedilo"/>
      </w:pPr>
      <w:r>
        <w:rPr>
          <w:rStyle w:val="Sprotnaopomba-sklic"/>
        </w:rPr>
        <w:footnoteRef/>
      </w:r>
      <w:r>
        <w:t xml:space="preserve"> Model Driven Engineering – MDE.</w:t>
      </w:r>
    </w:p>
  </w:footnote>
  <w:footnote w:id="15">
    <w:p w:rsidR="00FB7996" w:rsidRDefault="00FB7996">
      <w:pPr>
        <w:pStyle w:val="Sprotnaopomba-besedilo"/>
      </w:pPr>
      <w:r>
        <w:rPr>
          <w:rStyle w:val="Sprotnaopomba-sklic"/>
        </w:rPr>
        <w:footnoteRef/>
      </w:r>
      <w:r>
        <w:t xml:space="preserve"> Extensible markup language – XML.</w:t>
      </w:r>
    </w:p>
  </w:footnote>
  <w:footnote w:id="16">
    <w:p w:rsidR="00FB7996" w:rsidRDefault="00FB7996">
      <w:pPr>
        <w:pStyle w:val="Sprotnaopomba-besedilo"/>
      </w:pPr>
      <w:r>
        <w:rPr>
          <w:rStyle w:val="Sprotnaopomba-sklic"/>
        </w:rPr>
        <w:footnoteRef/>
      </w:r>
      <w:r w:rsidR="00D551BA">
        <w:t xml:space="preserve"> (angl.) Proof of concept</w:t>
      </w:r>
      <w:r w:rsidR="00860E39">
        <w:t>.</w:t>
      </w:r>
    </w:p>
  </w:footnote>
  <w:footnote w:id="17">
    <w:p w:rsidR="00EE514C" w:rsidRDefault="00EE514C">
      <w:pPr>
        <w:pStyle w:val="Sprotnaopomba-besedilo"/>
      </w:pPr>
      <w:r>
        <w:rPr>
          <w:rStyle w:val="Sprotnaopomba-sklic"/>
        </w:rPr>
        <w:footnoteRef/>
      </w:r>
      <w:r>
        <w:t xml:space="preserve"> International Game Development Association.</w:t>
      </w:r>
    </w:p>
  </w:footnote>
  <w:footnote w:id="18">
    <w:p w:rsidR="00FB7996" w:rsidRDefault="00FB7996">
      <w:pPr>
        <w:pStyle w:val="Sprotnaopomba-besedilo"/>
      </w:pPr>
      <w:r>
        <w:rPr>
          <w:rStyle w:val="Sprotnaopomba-sklic"/>
        </w:rPr>
        <w:footnoteRef/>
      </w:r>
      <w:r>
        <w:t xml:space="preserve"> QA- Quality assurance.</w:t>
      </w:r>
    </w:p>
  </w:footnote>
  <w:footnote w:id="19">
    <w:p w:rsidR="00FB7996" w:rsidRDefault="00FB7996">
      <w:pPr>
        <w:pStyle w:val="Sprotnaopomba-besedilo"/>
      </w:pPr>
      <w:r>
        <w:rPr>
          <w:rStyle w:val="Sprotnaopomba-sklic"/>
        </w:rPr>
        <w:footnoteRef/>
      </w:r>
      <w:r>
        <w:t xml:space="preserve"> Will Not Fix, po</w:t>
      </w:r>
      <w:r w:rsidR="00697114">
        <w:t>meni, da defekt ni dovolj pomem</w:t>
      </w:r>
      <w:r>
        <w:t>ben.</w:t>
      </w:r>
    </w:p>
  </w:footnote>
  <w:footnote w:id="20">
    <w:p w:rsidR="00FB7996" w:rsidRDefault="00FB7996">
      <w:pPr>
        <w:pStyle w:val="Sprotnaopomba-besedilo"/>
      </w:pPr>
      <w:r>
        <w:rPr>
          <w:rStyle w:val="Sprotnaopomba-sklic"/>
        </w:rPr>
        <w:footnoteRef/>
      </w:r>
      <w:r>
        <w:t xml:space="preserve"> Not A Bug, pomeni da ni defekt.</w:t>
      </w:r>
    </w:p>
  </w:footnote>
  <w:footnote w:id="21">
    <w:p w:rsidR="00F92280" w:rsidRDefault="00F92280" w:rsidP="00F92280">
      <w:pPr>
        <w:pStyle w:val="Sprotnaopomba-besedilo"/>
      </w:pPr>
      <w:r>
        <w:rPr>
          <w:rStyle w:val="Sprotnaopomba-sklic"/>
        </w:rPr>
        <w:footnoteRef/>
      </w:r>
      <w:r>
        <w:t xml:space="preserve"> Git distribuiran sistem za nadzor različice kode.</w:t>
      </w:r>
    </w:p>
  </w:footnote>
  <w:footnote w:id="22">
    <w:p w:rsidR="00F92280" w:rsidRDefault="00F92280" w:rsidP="00F92280">
      <w:pPr>
        <w:pStyle w:val="Sprotnaopomba-besedilo"/>
      </w:pPr>
      <w:r>
        <w:rPr>
          <w:rStyle w:val="Sprotnaopomba-sklic"/>
        </w:rPr>
        <w:footnoteRef/>
      </w:r>
      <w:r>
        <w:t xml:space="preserve"> Je grafikon, ki predstavlja časovni razpored projekta.</w:t>
      </w:r>
    </w:p>
  </w:footnote>
  <w:footnote w:id="23">
    <w:p w:rsidR="00F92280" w:rsidRDefault="00F92280" w:rsidP="00F92280">
      <w:pPr>
        <w:pStyle w:val="Sprotnaopomba-besedilo"/>
      </w:pPr>
      <w:r>
        <w:rPr>
          <w:rStyle w:val="Sprotnaopomba-sklic"/>
        </w:rPr>
        <w:footnoteRef/>
      </w:r>
      <w:r>
        <w:t xml:space="preserve"> Program evaluation and review technique, je statistično orodje za analizo nalog, ki so vključene v razvoj.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9">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2">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9"/>
  </w:num>
  <w:num w:numId="5">
    <w:abstractNumId w:val="10"/>
  </w:num>
  <w:num w:numId="6">
    <w:abstractNumId w:val="4"/>
  </w:num>
  <w:num w:numId="7">
    <w:abstractNumId w:val="8"/>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1"/>
  </w:num>
  <w:num w:numId="13">
    <w:abstractNumId w:val="1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A9"/>
    <w:rsid w:val="00017D06"/>
    <w:rsid w:val="00020147"/>
    <w:rsid w:val="00020482"/>
    <w:rsid w:val="00020967"/>
    <w:rsid w:val="00023FC2"/>
    <w:rsid w:val="00024761"/>
    <w:rsid w:val="00025DD1"/>
    <w:rsid w:val="000260FF"/>
    <w:rsid w:val="00027D69"/>
    <w:rsid w:val="00030356"/>
    <w:rsid w:val="00030B3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6016"/>
    <w:rsid w:val="00077A39"/>
    <w:rsid w:val="00077E67"/>
    <w:rsid w:val="0008067E"/>
    <w:rsid w:val="00080B76"/>
    <w:rsid w:val="00082782"/>
    <w:rsid w:val="0008349B"/>
    <w:rsid w:val="000836E4"/>
    <w:rsid w:val="00083A61"/>
    <w:rsid w:val="00083D93"/>
    <w:rsid w:val="00083F6E"/>
    <w:rsid w:val="000840D6"/>
    <w:rsid w:val="000849C3"/>
    <w:rsid w:val="00085312"/>
    <w:rsid w:val="0008556A"/>
    <w:rsid w:val="00085B1D"/>
    <w:rsid w:val="00086175"/>
    <w:rsid w:val="00086498"/>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4687"/>
    <w:rsid w:val="000A48CB"/>
    <w:rsid w:val="000A5E9D"/>
    <w:rsid w:val="000A613A"/>
    <w:rsid w:val="000A63BF"/>
    <w:rsid w:val="000A725A"/>
    <w:rsid w:val="000A763B"/>
    <w:rsid w:val="000A7BC2"/>
    <w:rsid w:val="000B021C"/>
    <w:rsid w:val="000B0BB7"/>
    <w:rsid w:val="000B1483"/>
    <w:rsid w:val="000B14E3"/>
    <w:rsid w:val="000B2409"/>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6755"/>
    <w:rsid w:val="000E73A4"/>
    <w:rsid w:val="000E7F47"/>
    <w:rsid w:val="000E7FF1"/>
    <w:rsid w:val="000F004E"/>
    <w:rsid w:val="000F0693"/>
    <w:rsid w:val="000F22CF"/>
    <w:rsid w:val="000F37C5"/>
    <w:rsid w:val="000F3B1C"/>
    <w:rsid w:val="000F4769"/>
    <w:rsid w:val="000F4AE6"/>
    <w:rsid w:val="000F4F0C"/>
    <w:rsid w:val="000F625F"/>
    <w:rsid w:val="000F7986"/>
    <w:rsid w:val="0010105A"/>
    <w:rsid w:val="00101D0F"/>
    <w:rsid w:val="00101D78"/>
    <w:rsid w:val="00102E72"/>
    <w:rsid w:val="0010301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5EE2"/>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677"/>
    <w:rsid w:val="00171715"/>
    <w:rsid w:val="00171AF9"/>
    <w:rsid w:val="001724B4"/>
    <w:rsid w:val="00174251"/>
    <w:rsid w:val="00174460"/>
    <w:rsid w:val="00174B27"/>
    <w:rsid w:val="0017573B"/>
    <w:rsid w:val="00175C56"/>
    <w:rsid w:val="0017606D"/>
    <w:rsid w:val="0017623C"/>
    <w:rsid w:val="00176AE2"/>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B6"/>
    <w:rsid w:val="001A6FD6"/>
    <w:rsid w:val="001A7099"/>
    <w:rsid w:val="001A73E7"/>
    <w:rsid w:val="001A740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F066F"/>
    <w:rsid w:val="001F0E95"/>
    <w:rsid w:val="001F1011"/>
    <w:rsid w:val="001F171D"/>
    <w:rsid w:val="001F17BB"/>
    <w:rsid w:val="001F18C1"/>
    <w:rsid w:val="001F19EC"/>
    <w:rsid w:val="001F1A5E"/>
    <w:rsid w:val="001F2457"/>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7BCB"/>
    <w:rsid w:val="002A0AEC"/>
    <w:rsid w:val="002A1124"/>
    <w:rsid w:val="002A16A4"/>
    <w:rsid w:val="002A1C15"/>
    <w:rsid w:val="002A1C73"/>
    <w:rsid w:val="002A20A3"/>
    <w:rsid w:val="002A2D63"/>
    <w:rsid w:val="002A2EE8"/>
    <w:rsid w:val="002A3406"/>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519"/>
    <w:rsid w:val="0038703B"/>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FB8"/>
    <w:rsid w:val="00396EC2"/>
    <w:rsid w:val="00396F4E"/>
    <w:rsid w:val="003971BA"/>
    <w:rsid w:val="003973D4"/>
    <w:rsid w:val="00397634"/>
    <w:rsid w:val="003A01EA"/>
    <w:rsid w:val="003A0755"/>
    <w:rsid w:val="003A0B82"/>
    <w:rsid w:val="003A101D"/>
    <w:rsid w:val="003A1B5E"/>
    <w:rsid w:val="003A21D0"/>
    <w:rsid w:val="003A2301"/>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679B"/>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9F3"/>
    <w:rsid w:val="003E63A1"/>
    <w:rsid w:val="003E63DC"/>
    <w:rsid w:val="003E6619"/>
    <w:rsid w:val="003E715C"/>
    <w:rsid w:val="003E72C3"/>
    <w:rsid w:val="003E73D7"/>
    <w:rsid w:val="003E741F"/>
    <w:rsid w:val="003F0564"/>
    <w:rsid w:val="003F0E9B"/>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5894"/>
    <w:rsid w:val="00416047"/>
    <w:rsid w:val="0041626B"/>
    <w:rsid w:val="0041638D"/>
    <w:rsid w:val="00416873"/>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470"/>
    <w:rsid w:val="00455809"/>
    <w:rsid w:val="00455E46"/>
    <w:rsid w:val="004564A9"/>
    <w:rsid w:val="00456D53"/>
    <w:rsid w:val="00456DF3"/>
    <w:rsid w:val="004575E0"/>
    <w:rsid w:val="00457CD4"/>
    <w:rsid w:val="00462374"/>
    <w:rsid w:val="00463A17"/>
    <w:rsid w:val="00463B3C"/>
    <w:rsid w:val="00463B4E"/>
    <w:rsid w:val="00463EB3"/>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CFF"/>
    <w:rsid w:val="0047640E"/>
    <w:rsid w:val="0047676A"/>
    <w:rsid w:val="0048069E"/>
    <w:rsid w:val="00481C67"/>
    <w:rsid w:val="00481CD0"/>
    <w:rsid w:val="00482739"/>
    <w:rsid w:val="00482F0A"/>
    <w:rsid w:val="00483599"/>
    <w:rsid w:val="0048470A"/>
    <w:rsid w:val="00484F24"/>
    <w:rsid w:val="00485353"/>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1F7A"/>
    <w:rsid w:val="004B20C0"/>
    <w:rsid w:val="004B226E"/>
    <w:rsid w:val="004B2987"/>
    <w:rsid w:val="004B2DD4"/>
    <w:rsid w:val="004B2DE2"/>
    <w:rsid w:val="004B3681"/>
    <w:rsid w:val="004B36A4"/>
    <w:rsid w:val="004B460A"/>
    <w:rsid w:val="004B50D0"/>
    <w:rsid w:val="004B60D6"/>
    <w:rsid w:val="004B6164"/>
    <w:rsid w:val="004B672C"/>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8A1"/>
    <w:rsid w:val="00501F7E"/>
    <w:rsid w:val="0050412C"/>
    <w:rsid w:val="00504867"/>
    <w:rsid w:val="00504989"/>
    <w:rsid w:val="00505C91"/>
    <w:rsid w:val="005063DE"/>
    <w:rsid w:val="00507653"/>
    <w:rsid w:val="0050768E"/>
    <w:rsid w:val="005079D2"/>
    <w:rsid w:val="00507D14"/>
    <w:rsid w:val="00507F90"/>
    <w:rsid w:val="005106B3"/>
    <w:rsid w:val="00510C79"/>
    <w:rsid w:val="0051167E"/>
    <w:rsid w:val="00511E12"/>
    <w:rsid w:val="0051225D"/>
    <w:rsid w:val="005123A0"/>
    <w:rsid w:val="00512692"/>
    <w:rsid w:val="005128DE"/>
    <w:rsid w:val="00512AC8"/>
    <w:rsid w:val="00514712"/>
    <w:rsid w:val="00514CD7"/>
    <w:rsid w:val="00514D4C"/>
    <w:rsid w:val="005151FA"/>
    <w:rsid w:val="0051546D"/>
    <w:rsid w:val="005154B8"/>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423"/>
    <w:rsid w:val="005309F1"/>
    <w:rsid w:val="00530A81"/>
    <w:rsid w:val="00531CEA"/>
    <w:rsid w:val="005326D9"/>
    <w:rsid w:val="005330D9"/>
    <w:rsid w:val="005334A4"/>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E87"/>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80204"/>
    <w:rsid w:val="0058069B"/>
    <w:rsid w:val="00580BB0"/>
    <w:rsid w:val="00580D68"/>
    <w:rsid w:val="00580FB2"/>
    <w:rsid w:val="00581E93"/>
    <w:rsid w:val="00582203"/>
    <w:rsid w:val="00582423"/>
    <w:rsid w:val="00582BA7"/>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453B"/>
    <w:rsid w:val="005A4DFE"/>
    <w:rsid w:val="005A4F07"/>
    <w:rsid w:val="005A6044"/>
    <w:rsid w:val="005A7D6E"/>
    <w:rsid w:val="005A7DEE"/>
    <w:rsid w:val="005A7FDD"/>
    <w:rsid w:val="005B1F35"/>
    <w:rsid w:val="005B202C"/>
    <w:rsid w:val="005B295A"/>
    <w:rsid w:val="005B35AC"/>
    <w:rsid w:val="005B3704"/>
    <w:rsid w:val="005B37CE"/>
    <w:rsid w:val="005B4517"/>
    <w:rsid w:val="005B4524"/>
    <w:rsid w:val="005B55E7"/>
    <w:rsid w:val="005B60FC"/>
    <w:rsid w:val="005B61F9"/>
    <w:rsid w:val="005B654A"/>
    <w:rsid w:val="005B6AA2"/>
    <w:rsid w:val="005B6D47"/>
    <w:rsid w:val="005B7C94"/>
    <w:rsid w:val="005B7D67"/>
    <w:rsid w:val="005C0153"/>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C70"/>
    <w:rsid w:val="005D6D65"/>
    <w:rsid w:val="005D754A"/>
    <w:rsid w:val="005E0B45"/>
    <w:rsid w:val="005E1838"/>
    <w:rsid w:val="005E2B44"/>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30FC"/>
    <w:rsid w:val="00613472"/>
    <w:rsid w:val="00613910"/>
    <w:rsid w:val="00614377"/>
    <w:rsid w:val="00614A7D"/>
    <w:rsid w:val="00615D9A"/>
    <w:rsid w:val="00616484"/>
    <w:rsid w:val="00617673"/>
    <w:rsid w:val="00620228"/>
    <w:rsid w:val="006206F5"/>
    <w:rsid w:val="00620A71"/>
    <w:rsid w:val="00621B81"/>
    <w:rsid w:val="00622478"/>
    <w:rsid w:val="0062256A"/>
    <w:rsid w:val="00622FE6"/>
    <w:rsid w:val="006234B6"/>
    <w:rsid w:val="00623B7C"/>
    <w:rsid w:val="006248A4"/>
    <w:rsid w:val="00624A7C"/>
    <w:rsid w:val="00625092"/>
    <w:rsid w:val="006254D7"/>
    <w:rsid w:val="006258DB"/>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A7"/>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E1"/>
    <w:rsid w:val="00692ECA"/>
    <w:rsid w:val="0069321A"/>
    <w:rsid w:val="006932D2"/>
    <w:rsid w:val="00694167"/>
    <w:rsid w:val="0069447C"/>
    <w:rsid w:val="0069484E"/>
    <w:rsid w:val="00694DE7"/>
    <w:rsid w:val="006952D5"/>
    <w:rsid w:val="006954B3"/>
    <w:rsid w:val="00697114"/>
    <w:rsid w:val="006975FC"/>
    <w:rsid w:val="00697D6A"/>
    <w:rsid w:val="00697E3C"/>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36D"/>
    <w:rsid w:val="006B578F"/>
    <w:rsid w:val="006B6945"/>
    <w:rsid w:val="006B6CAE"/>
    <w:rsid w:val="006B6CD0"/>
    <w:rsid w:val="006B6DB9"/>
    <w:rsid w:val="006B709E"/>
    <w:rsid w:val="006B760C"/>
    <w:rsid w:val="006B78EB"/>
    <w:rsid w:val="006B7C12"/>
    <w:rsid w:val="006B7C75"/>
    <w:rsid w:val="006C0484"/>
    <w:rsid w:val="006C0516"/>
    <w:rsid w:val="006C1ED2"/>
    <w:rsid w:val="006C3B99"/>
    <w:rsid w:val="006C49AD"/>
    <w:rsid w:val="006C49C1"/>
    <w:rsid w:val="006C4E21"/>
    <w:rsid w:val="006C79B4"/>
    <w:rsid w:val="006D0725"/>
    <w:rsid w:val="006D098E"/>
    <w:rsid w:val="006D0A82"/>
    <w:rsid w:val="006D1B29"/>
    <w:rsid w:val="006D3221"/>
    <w:rsid w:val="006D4838"/>
    <w:rsid w:val="006D672F"/>
    <w:rsid w:val="006D6989"/>
    <w:rsid w:val="006D72A3"/>
    <w:rsid w:val="006D732D"/>
    <w:rsid w:val="006D7E78"/>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57C4"/>
    <w:rsid w:val="006F5F7E"/>
    <w:rsid w:val="006F6126"/>
    <w:rsid w:val="006F6F58"/>
    <w:rsid w:val="006F7309"/>
    <w:rsid w:val="006F7525"/>
    <w:rsid w:val="006F7B81"/>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674E"/>
    <w:rsid w:val="0077691D"/>
    <w:rsid w:val="00776C04"/>
    <w:rsid w:val="007772B7"/>
    <w:rsid w:val="0077742E"/>
    <w:rsid w:val="0077780A"/>
    <w:rsid w:val="007778B7"/>
    <w:rsid w:val="0078039B"/>
    <w:rsid w:val="0078053B"/>
    <w:rsid w:val="0078110C"/>
    <w:rsid w:val="00781254"/>
    <w:rsid w:val="0078323B"/>
    <w:rsid w:val="0078356D"/>
    <w:rsid w:val="00783ECF"/>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96DA4"/>
    <w:rsid w:val="007A05C5"/>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FCB"/>
    <w:rsid w:val="007E0C76"/>
    <w:rsid w:val="007E1297"/>
    <w:rsid w:val="007E148C"/>
    <w:rsid w:val="007E2940"/>
    <w:rsid w:val="007E29C0"/>
    <w:rsid w:val="007E2CD2"/>
    <w:rsid w:val="007E2CFF"/>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F38"/>
    <w:rsid w:val="008169E2"/>
    <w:rsid w:val="0081762B"/>
    <w:rsid w:val="008178DF"/>
    <w:rsid w:val="00817B09"/>
    <w:rsid w:val="008204AD"/>
    <w:rsid w:val="008204D0"/>
    <w:rsid w:val="00821182"/>
    <w:rsid w:val="00821CFB"/>
    <w:rsid w:val="00822201"/>
    <w:rsid w:val="008224EC"/>
    <w:rsid w:val="0082288F"/>
    <w:rsid w:val="00823034"/>
    <w:rsid w:val="00823E37"/>
    <w:rsid w:val="0082449A"/>
    <w:rsid w:val="00825B3B"/>
    <w:rsid w:val="00825CDE"/>
    <w:rsid w:val="008268E5"/>
    <w:rsid w:val="008271EF"/>
    <w:rsid w:val="0082757C"/>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8E2"/>
    <w:rsid w:val="00907F99"/>
    <w:rsid w:val="0091198B"/>
    <w:rsid w:val="009119F0"/>
    <w:rsid w:val="00911F6F"/>
    <w:rsid w:val="0091256A"/>
    <w:rsid w:val="009125E1"/>
    <w:rsid w:val="00913EAD"/>
    <w:rsid w:val="00914A31"/>
    <w:rsid w:val="0091550B"/>
    <w:rsid w:val="00915687"/>
    <w:rsid w:val="00915D96"/>
    <w:rsid w:val="00921F08"/>
    <w:rsid w:val="00923314"/>
    <w:rsid w:val="00923444"/>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4C5A"/>
    <w:rsid w:val="00934F2D"/>
    <w:rsid w:val="00935068"/>
    <w:rsid w:val="00936821"/>
    <w:rsid w:val="00936D1F"/>
    <w:rsid w:val="009370E5"/>
    <w:rsid w:val="00940378"/>
    <w:rsid w:val="00940EB7"/>
    <w:rsid w:val="009416F6"/>
    <w:rsid w:val="00941A10"/>
    <w:rsid w:val="0094230C"/>
    <w:rsid w:val="0094334C"/>
    <w:rsid w:val="00943AB7"/>
    <w:rsid w:val="009440BF"/>
    <w:rsid w:val="0094435A"/>
    <w:rsid w:val="00944449"/>
    <w:rsid w:val="00944697"/>
    <w:rsid w:val="00944AB4"/>
    <w:rsid w:val="00944DC9"/>
    <w:rsid w:val="0094536D"/>
    <w:rsid w:val="00945A73"/>
    <w:rsid w:val="00946206"/>
    <w:rsid w:val="0094650A"/>
    <w:rsid w:val="00947739"/>
    <w:rsid w:val="00947837"/>
    <w:rsid w:val="00947CDF"/>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433"/>
    <w:rsid w:val="009874DD"/>
    <w:rsid w:val="0098790D"/>
    <w:rsid w:val="0099041E"/>
    <w:rsid w:val="009907C3"/>
    <w:rsid w:val="0099085F"/>
    <w:rsid w:val="00990C2F"/>
    <w:rsid w:val="00990E78"/>
    <w:rsid w:val="00991CEA"/>
    <w:rsid w:val="00992313"/>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E5F"/>
    <w:rsid w:val="009E0741"/>
    <w:rsid w:val="009E120E"/>
    <w:rsid w:val="009E17A1"/>
    <w:rsid w:val="009E2063"/>
    <w:rsid w:val="009E3166"/>
    <w:rsid w:val="009E382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495F"/>
    <w:rsid w:val="009F5009"/>
    <w:rsid w:val="009F5761"/>
    <w:rsid w:val="009F5831"/>
    <w:rsid w:val="009F5BA1"/>
    <w:rsid w:val="009F6793"/>
    <w:rsid w:val="009F7071"/>
    <w:rsid w:val="009F734C"/>
    <w:rsid w:val="00A0076C"/>
    <w:rsid w:val="00A00EC3"/>
    <w:rsid w:val="00A01A7F"/>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9B7"/>
    <w:rsid w:val="00A37E3C"/>
    <w:rsid w:val="00A4013F"/>
    <w:rsid w:val="00A4181E"/>
    <w:rsid w:val="00A41E28"/>
    <w:rsid w:val="00A42F46"/>
    <w:rsid w:val="00A43604"/>
    <w:rsid w:val="00A43E04"/>
    <w:rsid w:val="00A43FA6"/>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AB4"/>
    <w:rsid w:val="00AB7B9B"/>
    <w:rsid w:val="00AB7DB1"/>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0BD"/>
    <w:rsid w:val="00B036EA"/>
    <w:rsid w:val="00B03893"/>
    <w:rsid w:val="00B04F61"/>
    <w:rsid w:val="00B066A5"/>
    <w:rsid w:val="00B06DBA"/>
    <w:rsid w:val="00B10419"/>
    <w:rsid w:val="00B107DF"/>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C11"/>
    <w:rsid w:val="00B532FD"/>
    <w:rsid w:val="00B53456"/>
    <w:rsid w:val="00B53C4A"/>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28D"/>
    <w:rsid w:val="00B874A1"/>
    <w:rsid w:val="00B87EFF"/>
    <w:rsid w:val="00B90602"/>
    <w:rsid w:val="00B925A0"/>
    <w:rsid w:val="00B92FF8"/>
    <w:rsid w:val="00B93C01"/>
    <w:rsid w:val="00B93C75"/>
    <w:rsid w:val="00B948A7"/>
    <w:rsid w:val="00B9532B"/>
    <w:rsid w:val="00B95F69"/>
    <w:rsid w:val="00B96136"/>
    <w:rsid w:val="00B9642C"/>
    <w:rsid w:val="00B966A8"/>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BCC"/>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197F"/>
    <w:rsid w:val="00BD1D47"/>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38A1"/>
    <w:rsid w:val="00BF51FA"/>
    <w:rsid w:val="00BF5D42"/>
    <w:rsid w:val="00BF5F70"/>
    <w:rsid w:val="00BF7255"/>
    <w:rsid w:val="00BF72B9"/>
    <w:rsid w:val="00BF7626"/>
    <w:rsid w:val="00C00187"/>
    <w:rsid w:val="00C0042C"/>
    <w:rsid w:val="00C00654"/>
    <w:rsid w:val="00C006D2"/>
    <w:rsid w:val="00C0224C"/>
    <w:rsid w:val="00C022EA"/>
    <w:rsid w:val="00C03456"/>
    <w:rsid w:val="00C03806"/>
    <w:rsid w:val="00C03CCC"/>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C03"/>
    <w:rsid w:val="00C65D12"/>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2082"/>
    <w:rsid w:val="00CA25FB"/>
    <w:rsid w:val="00CA27A7"/>
    <w:rsid w:val="00CA287A"/>
    <w:rsid w:val="00CA288E"/>
    <w:rsid w:val="00CA2C27"/>
    <w:rsid w:val="00CA2C86"/>
    <w:rsid w:val="00CA2E63"/>
    <w:rsid w:val="00CA3894"/>
    <w:rsid w:val="00CA3E12"/>
    <w:rsid w:val="00CA4575"/>
    <w:rsid w:val="00CA495F"/>
    <w:rsid w:val="00CA4EB7"/>
    <w:rsid w:val="00CA5406"/>
    <w:rsid w:val="00CA5E67"/>
    <w:rsid w:val="00CA6512"/>
    <w:rsid w:val="00CA657A"/>
    <w:rsid w:val="00CA7B98"/>
    <w:rsid w:val="00CB0D02"/>
    <w:rsid w:val="00CB1734"/>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2C0"/>
    <w:rsid w:val="00CD055A"/>
    <w:rsid w:val="00CD0A40"/>
    <w:rsid w:val="00CD0BF8"/>
    <w:rsid w:val="00CD1CB2"/>
    <w:rsid w:val="00CD22A3"/>
    <w:rsid w:val="00CD281E"/>
    <w:rsid w:val="00CD2EF2"/>
    <w:rsid w:val="00CD3FE8"/>
    <w:rsid w:val="00CD4182"/>
    <w:rsid w:val="00CD4C40"/>
    <w:rsid w:val="00CD56F3"/>
    <w:rsid w:val="00CD6175"/>
    <w:rsid w:val="00CD6C1D"/>
    <w:rsid w:val="00CD6E2F"/>
    <w:rsid w:val="00CD74E0"/>
    <w:rsid w:val="00CD74E9"/>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7754"/>
    <w:rsid w:val="00CE7CAA"/>
    <w:rsid w:val="00CE7F3B"/>
    <w:rsid w:val="00CE7FC7"/>
    <w:rsid w:val="00CF012D"/>
    <w:rsid w:val="00CF0E58"/>
    <w:rsid w:val="00CF16C8"/>
    <w:rsid w:val="00CF172A"/>
    <w:rsid w:val="00CF286C"/>
    <w:rsid w:val="00CF2DD4"/>
    <w:rsid w:val="00CF2E0C"/>
    <w:rsid w:val="00CF3A0E"/>
    <w:rsid w:val="00CF3CFB"/>
    <w:rsid w:val="00CF4B9C"/>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7222"/>
    <w:rsid w:val="00DA7E8C"/>
    <w:rsid w:val="00DB0798"/>
    <w:rsid w:val="00DB0F51"/>
    <w:rsid w:val="00DB14E0"/>
    <w:rsid w:val="00DB1720"/>
    <w:rsid w:val="00DB3848"/>
    <w:rsid w:val="00DB3C41"/>
    <w:rsid w:val="00DB3D8F"/>
    <w:rsid w:val="00DB3EA7"/>
    <w:rsid w:val="00DB407D"/>
    <w:rsid w:val="00DB489C"/>
    <w:rsid w:val="00DB57E4"/>
    <w:rsid w:val="00DB5F3B"/>
    <w:rsid w:val="00DB6F92"/>
    <w:rsid w:val="00DB73BA"/>
    <w:rsid w:val="00DB75BD"/>
    <w:rsid w:val="00DC05A8"/>
    <w:rsid w:val="00DC0FB0"/>
    <w:rsid w:val="00DC1817"/>
    <w:rsid w:val="00DC1C95"/>
    <w:rsid w:val="00DC2728"/>
    <w:rsid w:val="00DC2C00"/>
    <w:rsid w:val="00DC3018"/>
    <w:rsid w:val="00DC490D"/>
    <w:rsid w:val="00DC5207"/>
    <w:rsid w:val="00DC58A5"/>
    <w:rsid w:val="00DC593D"/>
    <w:rsid w:val="00DC5B8F"/>
    <w:rsid w:val="00DC675B"/>
    <w:rsid w:val="00DC6AE0"/>
    <w:rsid w:val="00DC7150"/>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32B1"/>
    <w:rsid w:val="00E23440"/>
    <w:rsid w:val="00E23D76"/>
    <w:rsid w:val="00E24379"/>
    <w:rsid w:val="00E245A4"/>
    <w:rsid w:val="00E2493F"/>
    <w:rsid w:val="00E25A23"/>
    <w:rsid w:val="00E26538"/>
    <w:rsid w:val="00E26FC7"/>
    <w:rsid w:val="00E3043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C00"/>
    <w:rsid w:val="00E82F0B"/>
    <w:rsid w:val="00E83AE4"/>
    <w:rsid w:val="00E8429A"/>
    <w:rsid w:val="00E84D92"/>
    <w:rsid w:val="00E84F6A"/>
    <w:rsid w:val="00E85216"/>
    <w:rsid w:val="00E85E0A"/>
    <w:rsid w:val="00E86E31"/>
    <w:rsid w:val="00E870DF"/>
    <w:rsid w:val="00E87476"/>
    <w:rsid w:val="00E9057A"/>
    <w:rsid w:val="00E910A5"/>
    <w:rsid w:val="00E9196E"/>
    <w:rsid w:val="00E91DB7"/>
    <w:rsid w:val="00E9225F"/>
    <w:rsid w:val="00E923A5"/>
    <w:rsid w:val="00E93987"/>
    <w:rsid w:val="00E93A86"/>
    <w:rsid w:val="00E946A8"/>
    <w:rsid w:val="00E9540F"/>
    <w:rsid w:val="00E9667F"/>
    <w:rsid w:val="00E96C95"/>
    <w:rsid w:val="00E96C96"/>
    <w:rsid w:val="00E971CD"/>
    <w:rsid w:val="00E97392"/>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2BAA"/>
    <w:rsid w:val="00F32E96"/>
    <w:rsid w:val="00F33770"/>
    <w:rsid w:val="00F344A1"/>
    <w:rsid w:val="00F348F7"/>
    <w:rsid w:val="00F34F5D"/>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F0539-9BA1-40E6-A199-6FE6561D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7915</TotalTime>
  <Pages>18</Pages>
  <Words>46624</Words>
  <Characters>265759</Characters>
  <Application>Microsoft Office Word</Application>
  <DocSecurity>0</DocSecurity>
  <Lines>2214</Lines>
  <Paragraphs>623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4574</cp:revision>
  <dcterms:created xsi:type="dcterms:W3CDTF">2017-11-24T08:18:00Z</dcterms:created>
  <dcterms:modified xsi:type="dcterms:W3CDTF">2017-12-31T13:43:00Z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