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w:t>
      </w:r>
      <w:r>
        <w:rPr>
          <w:rFonts w:ascii="Times New Roman" w:hAnsi="Times New Roman" w:cs="Times New Roman"/>
          <w:sz w:val="24"/>
        </w:rPr>
        <w:lastRenderedPageBreak/>
        <w:t xml:space="preserve">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B52A48" w:rsidRDefault="00B52A48" w:rsidP="00B52A48">
      <w:pPr>
        <w:jc w:val="both"/>
        <w:rPr>
          <w:rFonts w:ascii="Times New Roman" w:hAnsi="Times New Roman" w:cs="Times New Roman"/>
          <w:sz w:val="24"/>
        </w:rPr>
      </w:pPr>
      <w:r>
        <w:rPr>
          <w:rFonts w:ascii="Times New Roman" w:hAnsi="Times New Roman" w:cs="Times New Roman"/>
          <w:sz w:val="24"/>
        </w:rPr>
        <w:lastRenderedPageBreak/>
        <w:t>Validacijo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4"/>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Pr>
          <w:rStyle w:val="Sprotnaopomba-sklic"/>
          <w:rFonts w:ascii="Times New Roman" w:hAnsi="Times New Roman" w:cs="Times New Roman"/>
          <w:sz w:val="24"/>
          <w:szCs w:val="20"/>
        </w:rPr>
        <w:footnoteReference w:id="15"/>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6"/>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7"/>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18"/>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(pog.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Scrum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r w:rsidR="00E328D0">
        <w:rPr>
          <w:rFonts w:ascii="Times New Roman" w:hAnsi="Times New Roman" w:cs="Times New Roman"/>
          <w:sz w:val="24"/>
          <w:szCs w:val="20"/>
        </w:rPr>
        <w:t>Scrum</w:t>
      </w:r>
      <w:r w:rsidR="00E85017">
        <w:rPr>
          <w:rFonts w:ascii="Times New Roman" w:hAnsi="Times New Roman" w:cs="Times New Roman"/>
          <w:sz w:val="24"/>
          <w:szCs w:val="20"/>
        </w:rPr>
        <w:t xml:space="preserve"> metodologijo</w:t>
      </w:r>
      <w:bookmarkStart w:id="0" w:name="_GoBack"/>
      <w:bookmarkEnd w:id="0"/>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komunikacijo med ekipami in integracijo z GitHub</w:t>
      </w:r>
      <w:r w:rsidR="00F92280">
        <w:rPr>
          <w:rStyle w:val="Sprotnaopomba-sklic"/>
          <w:rFonts w:ascii="Times New Roman" w:hAnsi="Times New Roman" w:cs="Times New Roman"/>
          <w:sz w:val="24"/>
          <w:szCs w:val="20"/>
        </w:rPr>
        <w:footnoteReference w:id="19"/>
      </w:r>
      <w:r w:rsidR="00F92280">
        <w:rPr>
          <w:rFonts w:ascii="Times New Roman" w:hAnsi="Times New Roman" w:cs="Times New Roman"/>
          <w:sz w:val="24"/>
          <w:szCs w:val="20"/>
        </w:rPr>
        <w:t xml:space="preserve">. Poleg teh poznamo še Fat Panda, </w:t>
      </w:r>
      <w:r w:rsidR="00F92280">
        <w:rPr>
          <w:rFonts w:ascii="Times New Roman" w:hAnsi="Times New Roman" w:cs="Times New Roman"/>
          <w:sz w:val="24"/>
          <w:szCs w:val="20"/>
        </w:rPr>
        <w:lastRenderedPageBreak/>
        <w:t>Pivotal Tracker, Active Collab, HacknPlan, Asana in Slack. Orodja lahko omogočajo tudi definiranje t.i. Gantt</w:t>
      </w:r>
      <w:r w:rsidR="00F92280">
        <w:rPr>
          <w:rStyle w:val="Sprotnaopomba-sklic"/>
          <w:rFonts w:ascii="Times New Roman" w:hAnsi="Times New Roman" w:cs="Times New Roman"/>
          <w:sz w:val="24"/>
          <w:szCs w:val="20"/>
        </w:rPr>
        <w:footnoteReference w:id="20"/>
      </w:r>
      <w:r w:rsidR="00F92280">
        <w:rPr>
          <w:rFonts w:ascii="Times New Roman" w:hAnsi="Times New Roman" w:cs="Times New Roman"/>
          <w:sz w:val="24"/>
          <w:szCs w:val="20"/>
        </w:rPr>
        <w:t xml:space="preserve"> ali PERT</w:t>
      </w:r>
      <w:r w:rsidR="00F92280">
        <w:rPr>
          <w:rStyle w:val="Sprotnaopomba-sklic"/>
          <w:rFonts w:ascii="Times New Roman" w:hAnsi="Times New Roman" w:cs="Times New Roman"/>
          <w:sz w:val="24"/>
          <w:szCs w:val="20"/>
        </w:rPr>
        <w:footnoteReference w:id="21"/>
      </w:r>
      <w:r w:rsidR="00F92280">
        <w:rPr>
          <w:rFonts w:ascii="Times New Roman" w:hAnsi="Times New Roman" w:cs="Times New Roman"/>
          <w:sz w:val="24"/>
          <w:szCs w:val="20"/>
        </w:rPr>
        <w:t xml:space="preserve"> grafov, ki zadostijo definiranjem časovnih načrtov.</w:t>
      </w:r>
    </w:p>
    <w:p w:rsidR="00126A47" w:rsidRDefault="00941A10" w:rsidP="000C57EC">
      <w:pPr>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 xml:space="preserve">Za lažjo odločitev lahko uporabimo analitični hierarhični proces,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 xml:space="preserve">Zavoljo tega obstajajo rešitve katere omogočajo spremljanje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r w:rsidR="00050507">
        <w:rPr>
          <w:rFonts w:ascii="Times New Roman" w:hAnsi="Times New Roman" w:cs="Times New Roman"/>
          <w:sz w:val="24"/>
          <w:szCs w:val="20"/>
        </w:rPr>
        <w:t>Perforce in AlienBrain, odprtokodne pa Subversion</w:t>
      </w:r>
      <w:r w:rsidR="00D23387">
        <w:rPr>
          <w:rFonts w:ascii="Times New Roman" w:hAnsi="Times New Roman" w:cs="Times New Roman"/>
          <w:sz w:val="24"/>
          <w:szCs w:val="20"/>
        </w:rPr>
        <w:t xml:space="preserve">, </w:t>
      </w:r>
      <w:r w:rsidR="00EF4594">
        <w:rPr>
          <w:rFonts w:ascii="Times New Roman" w:hAnsi="Times New Roman" w:cs="Times New Roman"/>
          <w:sz w:val="24"/>
          <w:szCs w:val="20"/>
        </w:rPr>
        <w:t>TortoiseSVN</w:t>
      </w:r>
      <w:r w:rsidR="00D23387">
        <w:rPr>
          <w:rFonts w:ascii="Times New Roman" w:hAnsi="Times New Roman" w:cs="Times New Roman"/>
          <w:sz w:val="24"/>
          <w:szCs w:val="20"/>
        </w:rPr>
        <w:t xml:space="preserve"> in Git</w:t>
      </w:r>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C57EC">
      <w:pPr>
        <w:contextualSpacing/>
        <w:jc w:val="both"/>
        <w:rPr>
          <w:rFonts w:ascii="Times New Roman" w:hAnsi="Times New Roman" w:cs="Times New Roman"/>
          <w:sz w:val="24"/>
          <w:szCs w:val="20"/>
        </w:rPr>
      </w:pPr>
    </w:p>
    <w:p w:rsidR="001B06D8"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drawing>
          <wp:inline distT="0" distB="0" distL="0" distR="0" wp14:anchorId="244B855B" wp14:editId="0047A7EA">
            <wp:extent cx="3668486" cy="1131825"/>
            <wp:effectExtent l="0" t="0" r="825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74612" cy="1133715"/>
                    </a:xfrm>
                    <a:prstGeom prst="rect">
                      <a:avLst/>
                    </a:prstGeom>
                  </pic:spPr>
                </pic:pic>
              </a:graphicData>
            </a:graphic>
          </wp:inline>
        </w:drawing>
      </w:r>
    </w:p>
    <w:p w:rsidR="003A67A6" w:rsidRDefault="003A67A6"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3A67A6">
      <w:pPr>
        <w:contextualSpacing/>
        <w:rPr>
          <w:rFonts w:ascii="Times New Roman" w:hAnsi="Times New Roman" w:cs="Times New Roman"/>
          <w:sz w:val="24"/>
          <w:szCs w:val="20"/>
        </w:rPr>
      </w:pPr>
    </w:p>
    <w:p w:rsidR="00680F1A" w:rsidRPr="003A67A6" w:rsidRDefault="00551C7D" w:rsidP="001C268B">
      <w:pPr>
        <w:contextualSpacing/>
        <w:jc w:val="both"/>
        <w:rPr>
          <w:rFonts w:ascii="Times New Roman" w:hAnsi="Times New Roman" w:cs="Times New Roman"/>
          <w:sz w:val="24"/>
          <w:szCs w:val="20"/>
        </w:rPr>
      </w:pPr>
      <w:r>
        <w:rPr>
          <w:rFonts w:ascii="Times New Roman" w:hAnsi="Times New Roman" w:cs="Times New Roman"/>
          <w:sz w:val="24"/>
          <w:szCs w:val="20"/>
        </w:rPr>
        <w:t>V našem primeru predlagamo uporabo Scrumban procesa kot pomožnega orodja osnovnemu procesu v kombinaciji z agilnimi praksami. Scrumban izboljša Kanbano</w:t>
      </w:r>
      <w:r w:rsidR="001C268B">
        <w:rPr>
          <w:rFonts w:ascii="Times New Roman" w:hAnsi="Times New Roman" w:cs="Times New Roman"/>
          <w:sz w:val="24"/>
          <w:szCs w:val="20"/>
        </w:rPr>
        <w:t>v WiP</w:t>
      </w:r>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Prav tako model 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w:t>
      </w:r>
      <w:r w:rsidR="00DB4D70">
        <w:rPr>
          <w:rFonts w:ascii="Times New Roman" w:hAnsi="Times New Roman" w:cs="Times New Roman"/>
          <w:sz w:val="24"/>
          <w:szCs w:val="20"/>
        </w:rPr>
        <w:t>V realnosti veliko razvojnih ekip zgreši pri napovedi trajanja projekta. Zavoljo tega se proti koncu produkcijskega cikla velikokrat pojavi čas krize</w:t>
      </w:r>
      <w:r w:rsidR="00DB4D70">
        <w:rPr>
          <w:rStyle w:val="Sprotnaopomba-sklic"/>
          <w:rFonts w:ascii="Times New Roman" w:hAnsi="Times New Roman" w:cs="Times New Roman"/>
          <w:sz w:val="24"/>
          <w:szCs w:val="20"/>
        </w:rPr>
        <w:footnoteReference w:id="22"/>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 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E25" w:rsidRDefault="000E5E25" w:rsidP="009A65A9">
      <w:pPr>
        <w:spacing w:after="0" w:line="240" w:lineRule="auto"/>
      </w:pPr>
      <w:r>
        <w:separator/>
      </w:r>
    </w:p>
  </w:endnote>
  <w:endnote w:type="continuationSeparator" w:id="0">
    <w:p w:rsidR="000E5E25" w:rsidRDefault="000E5E25"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E25" w:rsidRDefault="000E5E25" w:rsidP="009A65A9">
      <w:pPr>
        <w:spacing w:after="0" w:line="240" w:lineRule="auto"/>
      </w:pPr>
      <w:r>
        <w:separator/>
      </w:r>
    </w:p>
  </w:footnote>
  <w:footnote w:type="continuationSeparator" w:id="0">
    <w:p w:rsidR="000E5E25" w:rsidRDefault="000E5E25" w:rsidP="009A65A9">
      <w:pPr>
        <w:spacing w:after="0" w:line="240" w:lineRule="auto"/>
      </w:pPr>
      <w:r>
        <w:continuationSeparator/>
      </w:r>
    </w:p>
  </w:footnote>
  <w:footnote w:id="1">
    <w:p w:rsidR="001B06D8" w:rsidRDefault="001B06D8" w:rsidP="00D504D2">
      <w:pPr>
        <w:pStyle w:val="Sprotnaopomba-besedilo"/>
      </w:pPr>
      <w:r>
        <w:rPr>
          <w:rStyle w:val="Sprotnaopomba-sklic"/>
        </w:rPr>
        <w:footnoteRef/>
      </w:r>
      <w:r>
        <w:t xml:space="preserve"> Institute of Electrical and Electronic Engineers – IEEE.</w:t>
      </w:r>
    </w:p>
  </w:footnote>
  <w:footnote w:id="2">
    <w:p w:rsidR="001B06D8" w:rsidRDefault="001B06D8">
      <w:pPr>
        <w:pStyle w:val="Sprotnaopomba-besedilo"/>
      </w:pPr>
      <w:r>
        <w:rPr>
          <w:rStyle w:val="Sprotnaopomba-sklic"/>
        </w:rPr>
        <w:footnoteRef/>
      </w:r>
      <w:r>
        <w:t xml:space="preserve"> (angl.) User Experiece-UX.</w:t>
      </w:r>
    </w:p>
  </w:footnote>
  <w:footnote w:id="3">
    <w:p w:rsidR="001B06D8" w:rsidRDefault="001B06D8">
      <w:pPr>
        <w:pStyle w:val="Sprotnaopomba-besedilo"/>
      </w:pPr>
      <w:r>
        <w:rPr>
          <w:rStyle w:val="Sprotnaopomba-sklic"/>
        </w:rPr>
        <w:footnoteRef/>
      </w:r>
      <w:r>
        <w:t xml:space="preserve"> (angl.) Playtesting.</w:t>
      </w:r>
    </w:p>
  </w:footnote>
  <w:footnote w:id="4">
    <w:p w:rsidR="001B06D8" w:rsidRDefault="001B06D8">
      <w:pPr>
        <w:pStyle w:val="Sprotnaopomba-besedilo"/>
      </w:pPr>
      <w:r>
        <w:rPr>
          <w:rStyle w:val="Sprotnaopomba-sklic"/>
        </w:rPr>
        <w:footnoteRef/>
      </w:r>
      <w:r>
        <w:t xml:space="preserve"> 35% manjkajočih vrednosti (Nesodelovanje).</w:t>
      </w:r>
    </w:p>
  </w:footnote>
  <w:footnote w:id="5">
    <w:p w:rsidR="001B06D8" w:rsidRDefault="001B06D8">
      <w:pPr>
        <w:pStyle w:val="Sprotnaopomba-besedilo"/>
      </w:pPr>
      <w:r>
        <w:rPr>
          <w:rStyle w:val="Sprotnaopomba-sklic"/>
        </w:rPr>
        <w:footnoteRef/>
      </w:r>
      <w:r>
        <w:t xml:space="preserve"> Agile Manifesto. Manifesto for Agile Software Development.</w:t>
      </w:r>
    </w:p>
  </w:footnote>
  <w:footnote w:id="6">
    <w:p w:rsidR="001B06D8" w:rsidRDefault="001B06D8">
      <w:pPr>
        <w:pStyle w:val="Sprotnaopomba-besedilo"/>
      </w:pPr>
      <w:r>
        <w:rPr>
          <w:rStyle w:val="Sprotnaopomba-sklic"/>
        </w:rPr>
        <w:footnoteRef/>
      </w:r>
      <w:r>
        <w:t xml:space="preserve"> SoftwareEngineering – Metamodel for Development Methodologies.</w:t>
      </w:r>
    </w:p>
  </w:footnote>
  <w:footnote w:id="7">
    <w:p w:rsidR="001B06D8" w:rsidRDefault="001B06D8">
      <w:pPr>
        <w:pStyle w:val="Sprotnaopomba-besedilo"/>
      </w:pPr>
      <w:r>
        <w:rPr>
          <w:rStyle w:val="Sprotnaopomba-sklic"/>
        </w:rPr>
        <w:footnoteRef/>
      </w:r>
      <w:r>
        <w:t xml:space="preserve"> Software &amp; Systems Process Engineering Meta-Model – SPEM.</w:t>
      </w:r>
    </w:p>
  </w:footnote>
  <w:footnote w:id="8">
    <w:p w:rsidR="001B06D8" w:rsidRDefault="001B06D8">
      <w:pPr>
        <w:pStyle w:val="Sprotnaopomba-besedilo"/>
      </w:pPr>
      <w:r>
        <w:rPr>
          <w:rStyle w:val="Sprotnaopomba-sklic"/>
        </w:rPr>
        <w:footnoteRef/>
      </w:r>
      <w:r>
        <w:t xml:space="preserve"> Object Management Group – OMG.</w:t>
      </w:r>
    </w:p>
  </w:footnote>
  <w:footnote w:id="9">
    <w:p w:rsidR="001B06D8" w:rsidRDefault="001B06D8">
      <w:pPr>
        <w:pStyle w:val="Sprotnaopomba-besedilo"/>
      </w:pPr>
      <w:r>
        <w:rPr>
          <w:rStyle w:val="Sprotnaopomba-sklic"/>
        </w:rPr>
        <w:footnoteRef/>
      </w:r>
      <w:r>
        <w:t xml:space="preserve"> Meta Object Facility – MOF.</w:t>
      </w:r>
    </w:p>
  </w:footnote>
  <w:footnote w:id="10">
    <w:p w:rsidR="001B06D8" w:rsidRDefault="001B06D8" w:rsidP="007669E9">
      <w:pPr>
        <w:pStyle w:val="Sprotnaopomba-besedilo"/>
      </w:pPr>
      <w:r>
        <w:rPr>
          <w:rStyle w:val="Sprotnaopomba-sklic"/>
        </w:rPr>
        <w:footnoteRef/>
      </w:r>
      <w:r>
        <w:t xml:space="preserve"> (angl.) Domain Specific Process Meta Model – DSPMM.</w:t>
      </w:r>
    </w:p>
  </w:footnote>
  <w:footnote w:id="11">
    <w:p w:rsidR="001B06D8" w:rsidRDefault="001B06D8" w:rsidP="007669E9">
      <w:pPr>
        <w:pStyle w:val="Sprotnaopomba-besedilo"/>
      </w:pPr>
      <w:r>
        <w:rPr>
          <w:rStyle w:val="Sprotnaopomba-sklic"/>
        </w:rPr>
        <w:footnoteRef/>
      </w:r>
      <w:r>
        <w:t xml:space="preserve"> (angl.) Abstract Process Meta Model – AMM.</w:t>
      </w:r>
    </w:p>
  </w:footnote>
  <w:footnote w:id="12">
    <w:p w:rsidR="001B06D8" w:rsidRDefault="001B06D8">
      <w:pPr>
        <w:pStyle w:val="Sprotnaopomba-besedilo"/>
      </w:pPr>
      <w:r>
        <w:rPr>
          <w:rStyle w:val="Sprotnaopomba-sklic"/>
        </w:rPr>
        <w:footnoteRef/>
      </w:r>
      <w:r>
        <w:t xml:space="preserve"> Inženiring meta-metod.</w:t>
      </w:r>
    </w:p>
  </w:footnote>
  <w:footnote w:id="13">
    <w:p w:rsidR="001B06D8" w:rsidRDefault="001B06D8">
      <w:pPr>
        <w:pStyle w:val="Sprotnaopomba-besedilo"/>
      </w:pPr>
      <w:r>
        <w:rPr>
          <w:rStyle w:val="Sprotnaopomba-sklic"/>
        </w:rPr>
        <w:footnoteRef/>
      </w:r>
      <w:r>
        <w:t xml:space="preserve"> Meta-Method for Software Engineering Methods.</w:t>
      </w:r>
    </w:p>
  </w:footnote>
  <w:footnote w:id="14">
    <w:p w:rsidR="001B06D8" w:rsidRDefault="001B06D8">
      <w:pPr>
        <w:pStyle w:val="Sprotnaopomba-besedilo"/>
      </w:pPr>
      <w:r>
        <w:rPr>
          <w:rStyle w:val="Sprotnaopomba-sklic"/>
        </w:rPr>
        <w:footnoteRef/>
      </w:r>
      <w:r>
        <w:t xml:space="preserve"> (angl.) Proof of concept.</w:t>
      </w:r>
    </w:p>
  </w:footnote>
  <w:footnote w:id="15">
    <w:p w:rsidR="001B06D8" w:rsidRDefault="001B06D8">
      <w:pPr>
        <w:pStyle w:val="Sprotnaopomba-besedilo"/>
      </w:pPr>
      <w:r>
        <w:rPr>
          <w:rStyle w:val="Sprotnaopomba-sklic"/>
        </w:rPr>
        <w:footnoteRef/>
      </w:r>
      <w:r>
        <w:t xml:space="preserve"> International Game Development Association.</w:t>
      </w:r>
    </w:p>
  </w:footnote>
  <w:footnote w:id="16">
    <w:p w:rsidR="001B06D8" w:rsidRDefault="001B06D8">
      <w:pPr>
        <w:pStyle w:val="Sprotnaopomba-besedilo"/>
      </w:pPr>
      <w:r>
        <w:rPr>
          <w:rStyle w:val="Sprotnaopomba-sklic"/>
        </w:rPr>
        <w:footnoteRef/>
      </w:r>
      <w:r>
        <w:t xml:space="preserve"> QA- Quality assurance.</w:t>
      </w:r>
    </w:p>
  </w:footnote>
  <w:footnote w:id="17">
    <w:p w:rsidR="001B06D8" w:rsidRDefault="001B06D8">
      <w:pPr>
        <w:pStyle w:val="Sprotnaopomba-besedilo"/>
      </w:pPr>
      <w:r>
        <w:rPr>
          <w:rStyle w:val="Sprotnaopomba-sklic"/>
        </w:rPr>
        <w:footnoteRef/>
      </w:r>
      <w:r>
        <w:t xml:space="preserve"> Will Not Fix, pomeni, da defekt ni dovolj pomemben.</w:t>
      </w:r>
    </w:p>
  </w:footnote>
  <w:footnote w:id="18">
    <w:p w:rsidR="001B06D8" w:rsidRDefault="001B06D8">
      <w:pPr>
        <w:pStyle w:val="Sprotnaopomba-besedilo"/>
      </w:pPr>
      <w:r>
        <w:rPr>
          <w:rStyle w:val="Sprotnaopomba-sklic"/>
        </w:rPr>
        <w:footnoteRef/>
      </w:r>
      <w:r>
        <w:t xml:space="preserve"> Not A Bug, pomeni da ni defekt.</w:t>
      </w:r>
    </w:p>
  </w:footnote>
  <w:footnote w:id="19">
    <w:p w:rsidR="001B06D8" w:rsidRDefault="001B06D8" w:rsidP="00F92280">
      <w:pPr>
        <w:pStyle w:val="Sprotnaopomba-besedilo"/>
      </w:pPr>
      <w:r>
        <w:rPr>
          <w:rStyle w:val="Sprotnaopomba-sklic"/>
        </w:rPr>
        <w:footnoteRef/>
      </w:r>
      <w:r>
        <w:t xml:space="preserve"> Git distribuiran sistem za nadzor različice kode.</w:t>
      </w:r>
    </w:p>
  </w:footnote>
  <w:footnote w:id="20">
    <w:p w:rsidR="001B06D8" w:rsidRDefault="001B06D8" w:rsidP="00F92280">
      <w:pPr>
        <w:pStyle w:val="Sprotnaopomba-besedilo"/>
      </w:pPr>
      <w:r>
        <w:rPr>
          <w:rStyle w:val="Sprotnaopomba-sklic"/>
        </w:rPr>
        <w:footnoteRef/>
      </w:r>
      <w:r>
        <w:t xml:space="preserve"> Je grafikon, ki predstavlja časovni razpored projekta.</w:t>
      </w:r>
    </w:p>
  </w:footnote>
  <w:footnote w:id="21">
    <w:p w:rsidR="001B06D8" w:rsidRDefault="001B06D8" w:rsidP="00F92280">
      <w:pPr>
        <w:pStyle w:val="Sprotnaopomba-besedilo"/>
      </w:pPr>
      <w:r>
        <w:rPr>
          <w:rStyle w:val="Sprotnaopomba-sklic"/>
        </w:rPr>
        <w:footnoteRef/>
      </w:r>
      <w:r>
        <w:t xml:space="preserve"> Program evaluation and review technique, je statistično orodje za analizo nalog, ki so vključene v razvoj.</w:t>
      </w:r>
    </w:p>
  </w:footnote>
  <w:footnote w:id="22">
    <w:p w:rsidR="00DB4D70" w:rsidRDefault="00DB4D70" w:rsidP="00DB4D70">
      <w:pPr>
        <w:pStyle w:val="Sprotnaopomba-besedilo"/>
      </w:pPr>
      <w:r>
        <w:rPr>
          <w:rStyle w:val="Sprotnaopomba-sklic"/>
        </w:rPr>
        <w:footnoteRef/>
      </w:r>
      <w:r>
        <w:t xml:space="preserve"> (angl.) Crunch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E18"/>
    <w:rsid w:val="00395FB8"/>
    <w:rsid w:val="00396242"/>
    <w:rsid w:val="00396EC2"/>
    <w:rsid w:val="00396F4E"/>
    <w:rsid w:val="003971BA"/>
    <w:rsid w:val="003973D4"/>
    <w:rsid w:val="00397634"/>
    <w:rsid w:val="003A01EA"/>
    <w:rsid w:val="003A0755"/>
    <w:rsid w:val="003A0B82"/>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453B"/>
    <w:rsid w:val="005A4DFE"/>
    <w:rsid w:val="005A4F0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B81"/>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020"/>
    <w:rsid w:val="00905561"/>
    <w:rsid w:val="00905857"/>
    <w:rsid w:val="00906E61"/>
    <w:rsid w:val="009070E8"/>
    <w:rsid w:val="009078E2"/>
    <w:rsid w:val="00907F99"/>
    <w:rsid w:val="0091198B"/>
    <w:rsid w:val="009119F0"/>
    <w:rsid w:val="00911F6F"/>
    <w:rsid w:val="0091256A"/>
    <w:rsid w:val="009125E1"/>
    <w:rsid w:val="00912881"/>
    <w:rsid w:val="00913EAD"/>
    <w:rsid w:val="00914A31"/>
    <w:rsid w:val="0091550B"/>
    <w:rsid w:val="00915687"/>
    <w:rsid w:val="00915D96"/>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79"/>
    <w:rsid w:val="00B306CD"/>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AC0E8-24AA-498A-BB64-836CE362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8277</TotalTime>
  <Pages>18</Pages>
  <Words>51615</Words>
  <Characters>294209</Characters>
  <Application>Microsoft Office Word</Application>
  <DocSecurity>0</DocSecurity>
  <Lines>2451</Lines>
  <Paragraphs>690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4884</cp:revision>
  <dcterms:created xsi:type="dcterms:W3CDTF">2017-11-24T08:18:00Z</dcterms:created>
  <dcterms:modified xsi:type="dcterms:W3CDTF">2018-01-02T09:21:00Z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