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Cerebras Future Evolution</w:t>
      </w:r>
    </w:p>
    <w:p>
      <w:pPr>
        <w:pStyle w:val="Heading1"/>
      </w:pPr>
      <w:r>
        <w:t>Executive Summary: Parallel Computing, Confidential Computing, and Distributed Computing</w:t>
      </w:r>
    </w:p>
    <w:p>
      <w:r/>
      <w:r>
        <w:rPr>
          <w:b/>
        </w:rPr>
        <w:t>Document type:</w:t>
      </w:r>
      <w:r>
        <w:t xml:space="preserve"> Executive summary for the three supporting research directions</w:t>
      </w:r>
    </w:p>
    <w:p>
      <w:r/>
      <w:r>
        <w:rPr>
          <w:b/>
        </w:rPr>
        <w:t>Date:</w:t>
      </w:r>
      <w:r>
        <w:t xml:space="preserve"> 15 October 2026</w:t>
      </w:r>
    </w:p>
    <w:p>
      <w:r/>
      <w:r>
        <w:rPr>
          <w:b/>
        </w:rPr>
        <w:t>Status:</w:t>
      </w:r>
      <w:r>
        <w:t xml:space="preserve"> Strategic architecture proposal; capabilities described as proposals are not assertions that they are currently implemented by Cerebras Systems.</w:t>
      </w:r>
    </w:p>
    <w:p>
      <w:pPr>
        <w:pStyle w:val="Heading1"/>
      </w:pPr>
      <w:r>
        <w:t>Executive perspective</w:t>
      </w:r>
    </w:p>
    <w:p>
      <w:r>
        <w:t>Cerebras has an opportunity to evolve from a highly specialized AI compute platform into a broader, programmable, secure, and distributed AI computing environment. Three mutually reinforcing directions provide a coherent path:</w:t>
      </w:r>
    </w:p>
    <w:p>
      <w:pPr>
        <w:pStyle w:val="ListNumber"/>
      </w:pPr>
      <w:r>
        <w:t>**Parallel computing:** make Cerebras hardware programmable through an architecture-aware compiler stack, programming model, runtime, libraries, and machine-level execution contract.</w:t>
      </w:r>
    </w:p>
    <w:p>
      <w:pPr>
        <w:pStyle w:val="ListNumber"/>
      </w:pPr>
      <w:r>
        <w:t>**Confidential computing:** protect data, model intellectual property, execution state, and outputs through a composite Trusted Execution Environment spanning host compute, wafer-scale compute, memory, fabric, storage, and cluster services.</w:t>
      </w:r>
    </w:p>
    <w:p>
      <w:pPr>
        <w:pStyle w:val="ListNumber"/>
      </w:pPr>
      <w:r>
        <w:t>**Distributed computing:** make multiple devices and systems behave as a coordinated compute fabric through explicit tensor-streaming protocols, efficient data representation, flow control, recovery, and cluster-level scheduling.</w:t>
      </w:r>
    </w:p>
    <w:p>
      <w:r>
        <w:t>The combined strategic objective is to make parallel execution easier to program, confidential workloads safer to operate, and multi-system deployments more efficient to scale. These directions should share common abstractions for workload identity, tensor representation, device capabilities, execution metadata, policy, attestation, and observability, while retaining specialized implementations where hardware and security requirements differ.</w:t>
      </w:r>
    </w:p>
    <w:p>
      <w:pPr>
        <w:pStyle w:val="Heading1"/>
      </w:pPr>
      <w:r>
        <w:t>1. Parallel computing: a native programming and execution platform</w:t>
      </w:r>
    </w:p>
    <w:p>
      <w:pPr>
        <w:pStyle w:val="Heading2"/>
      </w:pPr>
      <w:r>
        <w:t>Objective</w:t>
      </w:r>
    </w:p>
    <w:p>
      <w:r>
        <w:t>Develop a first-class software stack for Cerebras spatial/dataflow computing that exposes the architecture's strengths without forcing developers to treat the system as a conventional GPU. The aim is comparable in platform role—not necessarily API or binary compatibility—to what CUDA and ROCm provide in their respective ecosystems.</w:t>
      </w:r>
    </w:p>
    <w:p>
      <w:pPr>
        <w:pStyle w:val="Heading2"/>
      </w:pPr>
      <w:r>
        <w:t>Proposed architecture</w:t>
      </w:r>
    </w:p>
    <w:p>
      <w:pPr>
        <w:pStyle w:val="ListBullet"/>
      </w:pPr>
      <w:r>
        <w:t>**Programming model and libraries:** Provide stable APIs for tensor operations, kernels, collectives, memory movement, synchronization, profiling, and runtime control. Framework adapters can support existing AI workflows while allowing native programming for performance-critical components.</w:t>
      </w:r>
    </w:p>
    <w:p>
      <w:pPr>
        <w:pStyle w:val="ListBullet"/>
      </w:pPr>
      <w:r>
        <w:t>**Compiler spine:** Use MLIR as a central extensible representation, with a sequence of transformations such as tensor/graph IR → spatial/dataflow IR → fabric/network-on-chip IR → processing-element and device-specific lowering. Keep host compilation and accelerator compilation distinct where their execution models differ.</w:t>
      </w:r>
    </w:p>
    <w:p>
      <w:pPr>
        <w:pStyle w:val="ListBullet"/>
      </w:pPr>
      <w:r>
        <w:t>**Runtime and hardware abstraction layer:** Manage device discovery, compilation artifacts, memory and tensor lifetimes, dispatch, synchronization, diagnostics, and compatibility across hardware/software versions.</w:t>
      </w:r>
    </w:p>
    <w:p>
      <w:pPr>
        <w:pStyle w:val="ListBullet"/>
      </w:pPr>
      <w:r>
        <w:t>**Toolchain:** Provide simulator and validation workflows, performance analysis, tracing, debugging, reproducible builds, and continuous integration against representative hardware configurations.</w:t>
      </w:r>
    </w:p>
    <w:p>
      <w:pPr>
        <w:pStyle w:val="ListBullet"/>
      </w:pPr>
      <w:r>
        <w:t>**Scaling model:** Treat the processing element, wafer-scale engine, multi-wafer configuration, and multi-system cluster as successive levels of one programming and execution model, without pretending that all levels have identical memory or synchronization semantics.</w:t>
      </w:r>
    </w:p>
    <w:p>
      <w:pPr>
        <w:pStyle w:val="Heading2"/>
      </w:pPr>
      <w:r>
        <w:t>Mojo, Rust, and compatibility</w:t>
      </w:r>
    </w:p>
    <w:p>
      <w:r>
        <w:t>Mojo is a candidate for performance-oriented AI and accelerator programming, particularly where its MLIR-oriented compiler infrastructure and Python-adjacent ergonomics are useful. Rust is a strong candidate for the runtime, toolchain, host-side services, safety-critical orchestration, and systems libraries. A proposed Rust path would lower through a dedicated Cerebras backend and accelerator IR for device code, while using established LLVM-based compilation for host code where appropriate. Mojo and Rust should therefore be treated as complementary frontends and systems languages, not as interchangeable compilers.</w:t>
      </w:r>
    </w:p>
    <w:p>
      <w:r>
        <w:t>Python and PyTorch can remain important for model authoring, experimentation, and ecosystem compatibility. They need not define the low-level execution contract.</w:t>
      </w:r>
    </w:p>
    <w:p>
      <w:pPr>
        <w:pStyle w:val="Heading2"/>
      </w:pPr>
      <w:r>
        <w:t>Machine-level assembly and execution contract</w:t>
      </w:r>
    </w:p>
    <w:p>
      <w:r>
        <w:t>A mature platform should expose a documented low-level layer for architecture specialists: compiler intrinsics, inspectable intermediate representations, target-specific operations, scheduling and placement controls where supported, and eventually a stable assembly-like representation or virtual ISA if the hardware/toolchain can support it.</w:t>
      </w:r>
    </w:p>
    <w:p>
      <w:r>
        <w:t xml:space="preserve">This is a </w:t>
      </w:r>
      <w:r>
        <w:rPr>
          <w:b/>
        </w:rPr>
        <w:t>proposal for a software-visible machine-level contract</w:t>
      </w:r>
      <w:r>
        <w:t>, not a claim that a public, general-purpose Cerebras assembly language or CUDA/PTX-equivalent ISA already exists. The low-level representation must faithfully express spatial placement, dataflow, communication, synchronization, memory movement, and device constraints. Its semantics should be versioned and validated against hardware; it should not promise portability across targets where the underlying execution model differs.</w:t>
      </w:r>
    </w:p>
    <w:p>
      <w:pPr>
        <w:pStyle w:val="Heading2"/>
      </w:pPr>
      <w:r>
        <w:t>Expected outcomes</w:t>
      </w:r>
    </w:p>
    <w:p>
      <w:pPr>
        <w:pStyle w:val="ListBullet"/>
      </w:pPr>
      <w:r>
        <w:t>Better control over performance and resource placement.</w:t>
      </w:r>
    </w:p>
    <w:p>
      <w:pPr>
        <w:pStyle w:val="ListBullet"/>
      </w:pPr>
      <w:r>
        <w:t>A more accessible path for systems programmers and compiler researchers.</w:t>
      </w:r>
    </w:p>
    <w:p>
      <w:pPr>
        <w:pStyle w:val="ListBullet"/>
      </w:pPr>
      <w:r>
        <w:t>Reduced dependence on opaque, framework-specific compilation paths.</w:t>
      </w:r>
    </w:p>
    <w:p>
      <w:pPr>
        <w:pStyle w:val="ListBullet"/>
      </w:pPr>
      <w:r>
        <w:t>A stable base for domain libraries, external tooling, and third-party compiler integrations.</w:t>
      </w:r>
    </w:p>
    <w:p>
      <w:pPr>
        <w:pStyle w:val="ListBullet"/>
      </w:pPr>
      <w:r>
        <w:t>A consistent execution model that can later carry security and distribution metadata.</w:t>
      </w:r>
    </w:p>
    <w:p>
      <w:pPr>
        <w:pStyle w:val="Heading1"/>
      </w:pPr>
      <w:r>
        <w:t>2. Confidential computing: a composite Cerebras TEE</w:t>
      </w:r>
    </w:p>
    <w:p>
      <w:pPr>
        <w:pStyle w:val="Heading2"/>
      </w:pPr>
      <w:r>
        <w:t>Objective</w:t>
      </w:r>
    </w:p>
    <w:p>
      <w:r>
        <w:t>Create a confidential-computing design that protects sensitive AI workloads not only on a host CPU, but across the complete path where model data and execution state may be exposed: host, accelerator, memory, interconnect, storage, and cluster control services.</w:t>
      </w:r>
    </w:p>
    <w:p>
      <w:pPr>
        <w:pStyle w:val="Heading2"/>
      </w:pPr>
      <w:r>
        <w:t>Proposed C-CCA composite trust model</w:t>
      </w:r>
    </w:p>
    <w:p>
      <w:r>
        <w:t xml:space="preserve">The prior research proposed a </w:t>
      </w:r>
      <w:r>
        <w:rPr>
          <w:b/>
        </w:rPr>
        <w:t>Cerebras Composite Confidential Architecture (C-CCA)</w:t>
      </w:r>
      <w:r>
        <w:t xml:space="preserve"> assembled from several trust domains:</w:t>
      </w:r>
    </w:p>
    <w:p>
      <w:pPr>
        <w:pStyle w:val="ListBullet"/>
      </w:pPr>
      <w:r>
        <w:t>A CPU confidential virtual machine or equivalent protected host execution environment.</w:t>
      </w:r>
    </w:p>
    <w:p>
      <w:pPr>
        <w:pStyle w:val="ListBullet"/>
      </w:pPr>
      <w:r>
        <w:t>A protected **WSE Confidential Domain**, requiring hardware and firmware mechanisms appropriate to the wafer-scale engine.</w:t>
      </w:r>
    </w:p>
    <w:p>
      <w:pPr>
        <w:pStyle w:val="ListBullet"/>
      </w:pPr>
      <w:r>
        <w:t>Protected memory, fabric, and I/O paths, including explicit treatment of buffers and transfers that cross trust boundaries.</w:t>
      </w:r>
    </w:p>
    <w:p>
      <w:pPr>
        <w:pStyle w:val="ListBullet"/>
      </w:pPr>
      <w:r>
        <w:t>MemoryX/SwarmX and related storage/distribution components covered by a defined protection and key-management model.</w:t>
      </w:r>
    </w:p>
    <w:p>
      <w:pPr>
        <w:pStyle w:val="ListBullet"/>
      </w:pPr>
      <w:r>
        <w:t>Evidence collection, remote attestation, policy evaluation, and a customer-controlled KMS/HSM integration.</w:t>
      </w:r>
    </w:p>
    <w:p>
      <w:pPr>
        <w:pStyle w:val="ListBullet"/>
      </w:pPr>
      <w:r>
        <w:t>Cluster-level composition so that trust in one component does not silently imply trust in every other component.</w:t>
      </w:r>
    </w:p>
    <w:p>
      <w:r>
        <w:t>The key architectural principle is that CPU-side isolation alone is insufficient if plaintext tensors, model weights, keys, or intermediate activations become visible elsewhere in the execution path. The design must identify every trust boundary and specify what is encrypted, authenticated, measured, isolated, and verified at that boundary.</w:t>
      </w:r>
    </w:p>
    <w:p>
      <w:pPr>
        <w:pStyle w:val="Heading2"/>
      </w:pPr>
      <w:r>
        <w:t>Security capabilities to design for</w:t>
      </w:r>
    </w:p>
    <w:p>
      <w:pPr>
        <w:pStyle w:val="ListBullet"/>
      </w:pPr>
      <w:r>
        <w:t>**Confidential inference and training:** Protect model weights, prompts, datasets, intermediate tensors, optimizer state, and outputs according to workload policy.</w:t>
      </w:r>
    </w:p>
    <w:p>
      <w:pPr>
        <w:pStyle w:val="ListBullet"/>
      </w:pPr>
      <w:r>
        <w:t>**Measured launch and remote attestation:** Bind evidence to hardware/firmware/software measurements, configuration, workload identity, and relevant security policy. Define freshness, verifier trust, revocation, and upgrade behavior.</w:t>
      </w:r>
    </w:p>
    <w:p>
      <w:pPr>
        <w:pStyle w:val="ListBullet"/>
      </w:pPr>
      <w:r>
        <w:t>**End-to-end key control:** Use customer-controlled KMS/HSM or equivalent key authority; release secrets only after policy-compliant attestation. Define key rotation, revocation, audit, and recovery.</w:t>
      </w:r>
    </w:p>
    <w:p>
      <w:pPr>
        <w:pStyle w:val="ListBullet"/>
      </w:pPr>
      <w:r>
        <w:t>**Protected communication and storage:** Authenticate peers and protect data in transit and at rest; avoid unprotected staging buffers, dumps, logs, crash reports, and diagnostic paths.</w:t>
      </w:r>
    </w:p>
    <w:p>
      <w:pPr>
        <w:pStyle w:val="ListBullet"/>
      </w:pPr>
      <w:r>
        <w:t>**Multi-tenant isolation:** Specify separation of tenants, workloads, memory, execution contexts, and administrative authority.</w:t>
      </w:r>
    </w:p>
    <w:p>
      <w:pPr>
        <w:pStyle w:val="ListBullet"/>
      </w:pPr>
      <w:r>
        <w:t>**Distributed attestation:** Compose evidence from host, accelerator, fabric, storage, and orchestration components before authorizing sensitive workloads or releasing keys.</w:t>
      </w:r>
    </w:p>
    <w:p>
      <w:pPr>
        <w:pStyle w:val="ListBullet"/>
      </w:pPr>
      <w:r>
        <w:t>**Explicit threat model:** Document what is trusted, what may be malicious or compromised, side-channel assumptions, denial-of-service limitations, physical-access assumptions, and residual risks.</w:t>
      </w:r>
    </w:p>
    <w:p>
      <w:r>
        <w:t>Hardware-rooted protection for the wafer-scale engine, its memory and fabric, and relevant I/O is a prerequisite for strong claims about full-device confidentiality. Where the necessary hardware support is absent, the platform should state the narrower guarantee rather than imply that a CPU TEE automatically protects the accelerator.</w:t>
      </w:r>
    </w:p>
    <w:p>
      <w:pPr>
        <w:pStyle w:val="Heading2"/>
      </w:pPr>
      <w:r>
        <w:t>Rust and Mojo in the secure stack</w:t>
      </w:r>
    </w:p>
    <w:p>
      <w:r>
        <w:t>Rust is proposed for security-critical control-plane components: lifecycle management, attestation verification, policy evaluation, key-release orchestration, secure channel setup, audit, and service interfaces. Mojo is proposed for performance-critical AI kernels and secure-tensor operations, subject to a compiler and runtime path that preserves the required isolation and data-handling semantics. Python/PyTorch can remain the model-authoring and compatibility layer, with security boundaries enforced below it.</w:t>
      </w:r>
    </w:p>
    <w:p>
      <w:r>
        <w:t>A proposed C-CCA MLIR dialect and secure ABI could carry security labels, protected-memory requirements, allowed data flows, and boundary-crossing rules through compilation. These annotations would need validation and enforcement by the compiler, runtime, device mechanisms, and attestation policy; metadata alone is not a security control.</w:t>
      </w:r>
    </w:p>
    <w:p>
      <w:pPr>
        <w:pStyle w:val="Heading2"/>
      </w:pPr>
      <w:r>
        <w:t>Expected outcomes</w:t>
      </w:r>
    </w:p>
    <w:p>
      <w:pPr>
        <w:pStyle w:val="ListBullet"/>
      </w:pPr>
      <w:r>
        <w:t>A credible architecture for protecting proprietary models and sensitive enterprise data.</w:t>
      </w:r>
    </w:p>
    <w:p>
      <w:pPr>
        <w:pStyle w:val="ListBullet"/>
      </w:pPr>
      <w:r>
        <w:t>Stronger trust for hosted inference, private fine-tuning, agent execution, and multi-party AI workflows.</w:t>
      </w:r>
    </w:p>
    <w:p>
      <w:pPr>
        <w:pStyle w:val="ListBullet"/>
      </w:pPr>
      <w:r>
        <w:t>A clear security contract for customer key ownership and evidence-based workload authorization.</w:t>
      </w:r>
    </w:p>
    <w:p>
      <w:pPr>
        <w:pStyle w:val="ListBullet"/>
      </w:pPr>
      <w:r>
        <w:t>A path toward verifiable, policy-driven deployment across heterogeneous infrastructure.</w:t>
      </w:r>
    </w:p>
    <w:p>
      <w:pPr>
        <w:pStyle w:val="Heading1"/>
      </w:pPr>
      <w:r>
        <w:t>3. Distributed computing: a high-efficiency cluster and streaming fabric</w:t>
      </w:r>
    </w:p>
    <w:p>
      <w:pPr>
        <w:pStyle w:val="Heading2"/>
      </w:pPr>
      <w:r>
        <w:t>Objective</w:t>
      </w:r>
    </w:p>
    <w:p>
      <w:r>
        <w:t>Provide a scalable protocol and runtime for coordinating Cerebras instances and moving tensor data efficiently across devices, memory tiers, and systems. The design should distinguish control-plane communication from bulk data movement rather than forcing all traffic through one serialization and RPC mechanism.</w:t>
      </w:r>
    </w:p>
    <w:p>
      <w:pPr>
        <w:pStyle w:val="Heading2"/>
      </w:pPr>
      <w:r>
        <w:t>Proposed protocol architecture</w:t>
      </w:r>
    </w:p>
    <w:p>
      <w:pPr>
        <w:pStyle w:val="ListBullet"/>
      </w:pPr>
      <w:r>
        <w:t>**Control plane:** Retain gRPC and Protocol Buffers where they are effective for service APIs, configuration, lifecycle operations, health, and compatibility.</w:t>
      </w:r>
    </w:p>
    <w:p>
      <w:pPr>
        <w:pStyle w:val="ListBullet"/>
      </w:pPr>
      <w:r>
        <w:t>**Bulk data plane:** Use a fixed-frame, tensor-oriented protocol over the fastest supported transport, including RDMA or an appropriate fabric where available. Minimize copies, avoid repeated parsing of tensor payloads, and support DMA-friendly buffers.</w:t>
      </w:r>
    </w:p>
    <w:p>
      <w:pPr>
        <w:pStyle w:val="ListBullet"/>
      </w:pPr>
      <w:r>
        <w:t>**Metadata encoding:** Evaluate Cap’n Proto or FlatBuffers for compact, low-overhead structured metadata. Use formats based on measured needs rather than selecting one universal encoding for all traffic.</w:t>
      </w:r>
    </w:p>
    <w:p>
      <w:pPr>
        <w:pStyle w:val="ListBullet"/>
      </w:pPr>
      <w:r>
        <w:t>**MemoryX indexing and in-process representation:** Consider Rust-native layouts and tools such as `rkyv` for suitable read-mostly indexes or zero-copy access patterns. Use Serde where flexible serialization and broad interoperability are more valuable than strict zero-copy behavior.</w:t>
      </w:r>
    </w:p>
    <w:p>
      <w:pPr>
        <w:pStyle w:val="ListBullet"/>
      </w:pPr>
      <w:r>
        <w:t>**Reference implementation:** Use Rust for protocol libraries and services, with explicit schemas, versioning, validation, and conformance tests.</w:t>
      </w:r>
    </w:p>
    <w:p>
      <w:pPr>
        <w:pStyle w:val="Heading2"/>
      </w:pPr>
      <w:r>
        <w:t>CSDP: Cerebras Streaming and Distribution Protocol</w:t>
      </w:r>
    </w:p>
    <w:p>
      <w:r>
        <w:t xml:space="preserve">The previous research proposed a formal Rust-oriented protocol specification under the working name </w:t>
      </w:r>
      <w:r>
        <w:rPr>
          <w:b/>
        </w:rPr>
        <w:t>CSDP</w:t>
      </w:r>
      <w:r>
        <w:t>. Its design includes a 64-byte fixed header, typed enums and descriptors, explicit state machines, flow control and recovery, security considerations, storage integration, clustering behavior, and a Rust reference implementation.</w:t>
      </w:r>
    </w:p>
    <w:p>
      <w:r>
        <w:t>The header and payload design should identify the stream/message type, version, flags, lengths, and routing or correlation metadata required by the protocol. Exact field semantics and wire compatibility should be governed by the formal specification, not inferred from this summary. Tensor descriptors should represent dimensions, data type, layout, offsets, and ownership/lifetime requirements without unnecessarily copying payload data.</w:t>
      </w:r>
    </w:p>
    <w:p>
      <w:pPr>
        <w:pStyle w:val="Heading2"/>
      </w:pPr>
      <w:r>
        <w:t>Reliability and scale</w:t>
      </w:r>
    </w:p>
    <w:p>
      <w:pPr>
        <w:pStyle w:val="ListBullet"/>
      </w:pPr>
      <w:r>
        <w:t>**Hierarchical collectives:** Use topology-aware coordination across processing elements, wafers, nodes, and racks, choosing algorithms based on topology and workload.</w:t>
      </w:r>
    </w:p>
    <w:p>
      <w:pPr>
        <w:pStyle w:val="ListBullet"/>
      </w:pPr>
      <w:r>
        <w:t>**Flow control and backpressure:** Bound queues and in-flight buffers; prevent fast producers from exhausting memory or starving unrelated workloads.</w:t>
      </w:r>
    </w:p>
    <w:p>
      <w:pPr>
        <w:pStyle w:val="ListBullet"/>
      </w:pPr>
      <w:r>
        <w:t>**Chunking and recovery:** Support bounded chunks, integrity checks, sequence or offset tracking, timeout handling, retransmission or restart policies, and resumable transfer where useful.</w:t>
      </w:r>
    </w:p>
    <w:p>
      <w:pPr>
        <w:pStyle w:val="ListBullet"/>
      </w:pPr>
      <w:r>
        <w:t>**Observability:** Measure throughput, latency, queue depth, retries, copy count, CPU overhead, memory pressure, and tail latency.</w:t>
      </w:r>
    </w:p>
    <w:p>
      <w:pPr>
        <w:pStyle w:val="ListBullet"/>
      </w:pPr>
      <w:r>
        <w:t>**Compatibility:** Version control messages, metadata, and data-plane frames independently where appropriate; define negotiation and graceful rejection of unsupported features.</w:t>
      </w:r>
    </w:p>
    <w:p>
      <w:pPr>
        <w:pStyle w:val="ListBullet"/>
      </w:pPr>
      <w:r>
        <w:t>**Storage and event integration:** Keep storage/index representations separate from wire representations when their performance and durability requirements differ.</w:t>
      </w:r>
    </w:p>
    <w:p>
      <w:pPr>
        <w:pStyle w:val="Heading2"/>
      </w:pPr>
      <w:r>
        <w:t>Security integration</w:t>
      </w:r>
    </w:p>
    <w:p>
      <w:r>
        <w:t>The distributed protocol must be designed to work with the confidential-computing model: mutually authenticated endpoints, authorization of streams, integrity protection, key rotation, secure buffer lifecycle, and policy-aware routing. For confidential workloads, the design must specify whether data is encrypted end-to-end, where plaintext may exist, how peer attestation is checked, and how keys are released. Efficient zero-copy transfer is valuable only when buffer ownership and isolation remain correct.</w:t>
      </w:r>
    </w:p>
    <w:p>
      <w:pPr>
        <w:pStyle w:val="Heading2"/>
      </w:pPr>
      <w:r>
        <w:t>Expected outcomes</w:t>
      </w:r>
    </w:p>
    <w:p>
      <w:pPr>
        <w:pStyle w:val="ListBullet"/>
      </w:pPr>
      <w:r>
        <w:t>Higher effective tensor throughput and lower CPU/serialization overhead.</w:t>
      </w:r>
    </w:p>
    <w:p>
      <w:pPr>
        <w:pStyle w:val="ListBullet"/>
      </w:pPr>
      <w:r>
        <w:t>Better scaling across multiple systems and memory tiers.</w:t>
      </w:r>
    </w:p>
    <w:p>
      <w:pPr>
        <w:pStyle w:val="ListBullet"/>
      </w:pPr>
      <w:r>
        <w:t>More predictable backpressure, fault recovery, and tail latency.</w:t>
      </w:r>
    </w:p>
    <w:p>
      <w:pPr>
        <w:pStyle w:val="ListBullet"/>
      </w:pPr>
      <w:r>
        <w:t>A clean separation between service orchestration and bulk tensor transport.</w:t>
      </w:r>
    </w:p>
    <w:p>
      <w:pPr>
        <w:pStyle w:val="ListBullet"/>
      </w:pPr>
      <w:r>
        <w:t>A protocol foundation that can be audited, benchmarked, and implemented in Rust.</w:t>
      </w:r>
    </w:p>
    <w:p>
      <w:pPr>
        <w:pStyle w:val="Heading1"/>
      </w:pPr>
      <w:r>
        <w:t>4. How the three directions reinforce one another</w:t>
      </w:r>
    </w:p>
    <w:p>
      <w:r>
        <w:t>These are not three isolated roadmaps. They should share a small set of platform contracts: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pPr>
              <w:spacing w:after="20"/>
            </w:pPr>
            <w:r>
              <w:rPr>
                <w:b/>
                <w:sz w:val="16"/>
              </w:rPr>
              <w:t>Shared contract</w:t>
            </w:r>
          </w:p>
        </w:tc>
        <w:tc>
          <w:tcPr>
            <w:tcW w:type="dxa" w:w="2484"/>
          </w:tcPr>
          <w:p>
            <w:pPr>
              <w:spacing w:after="20"/>
            </w:pPr>
            <w:r>
              <w:rPr>
                <w:b/>
                <w:sz w:val="16"/>
              </w:rPr>
              <w:t>Parallel computing</w:t>
            </w:r>
          </w:p>
        </w:tc>
        <w:tc>
          <w:tcPr>
            <w:tcW w:type="dxa" w:w="2484"/>
          </w:tcPr>
          <w:p>
            <w:pPr>
              <w:spacing w:after="20"/>
            </w:pPr>
            <w:r>
              <w:rPr>
                <w:b/>
                <w:sz w:val="16"/>
              </w:rPr>
              <w:t>Confidential computing</w:t>
            </w:r>
          </w:p>
        </w:tc>
        <w:tc>
          <w:tcPr>
            <w:tcW w:type="dxa" w:w="2484"/>
          </w:tcPr>
          <w:p>
            <w:pPr>
              <w:spacing w:after="20"/>
            </w:pPr>
            <w:r>
              <w:rPr>
                <w:b/>
                <w:sz w:val="16"/>
              </w:rPr>
              <w:t>Distributed computing</w:t>
            </w:r>
          </w:p>
        </w:tc>
      </w:tr>
      <w:tr>
        <w:tc>
          <w:tcPr>
            <w:tcW w:type="dxa" w:w="2484"/>
          </w:tcPr>
          <w:p>
            <w:pPr>
              <w:spacing w:after="20"/>
            </w:pPr>
            <w:r>
              <w:rPr>
                <w:sz w:val="16"/>
              </w:rPr>
              <w:t>Tensor and memory model</w:t>
            </w:r>
          </w:p>
        </w:tc>
        <w:tc>
          <w:tcPr>
            <w:tcW w:type="dxa" w:w="2484"/>
          </w:tcPr>
          <w:p>
            <w:pPr>
              <w:spacing w:after="20"/>
            </w:pPr>
            <w:r>
              <w:rPr>
                <w:sz w:val="16"/>
              </w:rPr>
              <w:t>Describes layout, placement, lifetime, and movement</w:t>
            </w:r>
          </w:p>
        </w:tc>
        <w:tc>
          <w:tcPr>
            <w:tcW w:type="dxa" w:w="2484"/>
          </w:tcPr>
          <w:p>
            <w:pPr>
              <w:spacing w:after="20"/>
            </w:pPr>
            <w:r>
              <w:rPr>
                <w:sz w:val="16"/>
              </w:rPr>
              <w:t>Labels sensitive buffers and enforces protected handling</w:t>
            </w:r>
          </w:p>
        </w:tc>
        <w:tc>
          <w:tcPr>
            <w:tcW w:type="dxa" w:w="2484"/>
          </w:tcPr>
          <w:p>
            <w:pPr>
              <w:spacing w:after="20"/>
            </w:pPr>
            <w:r>
              <w:rPr>
                <w:sz w:val="16"/>
              </w:rPr>
              <w:t>Describes wire transfer, ownership, and zero-copy boundaries</w:t>
            </w:r>
          </w:p>
        </w:tc>
      </w:tr>
      <w:tr>
        <w:tc>
          <w:tcPr>
            <w:tcW w:type="dxa" w:w="2484"/>
          </w:tcPr>
          <w:p>
            <w:pPr>
              <w:spacing w:after="20"/>
            </w:pPr>
            <w:r>
              <w:rPr>
                <w:sz w:val="16"/>
              </w:rPr>
              <w:t>Compiler/runtime metadata</w:t>
            </w:r>
          </w:p>
        </w:tc>
        <w:tc>
          <w:tcPr>
            <w:tcW w:type="dxa" w:w="2484"/>
          </w:tcPr>
          <w:p>
            <w:pPr>
              <w:spacing w:after="20"/>
            </w:pPr>
            <w:r>
              <w:rPr>
                <w:sz w:val="16"/>
              </w:rPr>
              <w:t>Carries target and execution constraints</w:t>
            </w:r>
          </w:p>
        </w:tc>
        <w:tc>
          <w:tcPr>
            <w:tcW w:type="dxa" w:w="2484"/>
          </w:tcPr>
          <w:p>
            <w:pPr>
              <w:spacing w:after="20"/>
            </w:pPr>
            <w:r>
              <w:rPr>
                <w:sz w:val="16"/>
              </w:rPr>
              <w:t>Carries security labels and policy requirements</w:t>
            </w:r>
          </w:p>
        </w:tc>
        <w:tc>
          <w:tcPr>
            <w:tcW w:type="dxa" w:w="2484"/>
          </w:tcPr>
          <w:p>
            <w:pPr>
              <w:spacing w:after="20"/>
            </w:pPr>
            <w:r>
              <w:rPr>
                <w:sz w:val="16"/>
              </w:rPr>
              <w:t>Carries partitioning, routing, and transfer requirements</w:t>
            </w:r>
          </w:p>
        </w:tc>
      </w:tr>
      <w:tr>
        <w:tc>
          <w:tcPr>
            <w:tcW w:type="dxa" w:w="2484"/>
          </w:tcPr>
          <w:p>
            <w:pPr>
              <w:spacing w:after="20"/>
            </w:pPr>
            <w:r>
              <w:rPr>
                <w:sz w:val="16"/>
              </w:rPr>
              <w:t>Workload identity</w:t>
            </w:r>
          </w:p>
        </w:tc>
        <w:tc>
          <w:tcPr>
            <w:tcW w:type="dxa" w:w="2484"/>
          </w:tcPr>
          <w:p>
            <w:pPr>
              <w:spacing w:after="20"/>
            </w:pPr>
            <w:r>
              <w:rPr>
                <w:sz w:val="16"/>
              </w:rPr>
              <w:t>Identifies code and execution artifacts</w:t>
            </w:r>
          </w:p>
        </w:tc>
        <w:tc>
          <w:tcPr>
            <w:tcW w:type="dxa" w:w="2484"/>
          </w:tcPr>
          <w:p>
            <w:pPr>
              <w:spacing w:after="20"/>
            </w:pPr>
            <w:r>
              <w:rPr>
                <w:sz w:val="16"/>
              </w:rPr>
              <w:t>Binds measurements and attestation to authorized workloads</w:t>
            </w:r>
          </w:p>
        </w:tc>
        <w:tc>
          <w:tcPr>
            <w:tcW w:type="dxa" w:w="2484"/>
          </w:tcPr>
          <w:p>
            <w:pPr>
              <w:spacing w:after="20"/>
            </w:pPr>
            <w:r>
              <w:rPr>
                <w:sz w:val="16"/>
              </w:rPr>
              <w:t>Authenticates workloads and peers across a cluster</w:t>
            </w:r>
          </w:p>
        </w:tc>
      </w:tr>
      <w:tr>
        <w:tc>
          <w:tcPr>
            <w:tcW w:type="dxa" w:w="2484"/>
          </w:tcPr>
          <w:p>
            <w:pPr>
              <w:spacing w:after="20"/>
            </w:pPr>
            <w:r>
              <w:rPr>
                <w:sz w:val="16"/>
              </w:rPr>
              <w:t>Observability</w:t>
            </w:r>
          </w:p>
        </w:tc>
        <w:tc>
          <w:tcPr>
            <w:tcW w:type="dxa" w:w="2484"/>
          </w:tcPr>
          <w:p>
            <w:pPr>
              <w:spacing w:after="20"/>
            </w:pPr>
            <w:r>
              <w:rPr>
                <w:sz w:val="16"/>
              </w:rPr>
              <w:t>Profiles kernels, scheduling, and resource use</w:t>
            </w:r>
          </w:p>
        </w:tc>
        <w:tc>
          <w:tcPr>
            <w:tcW w:type="dxa" w:w="2484"/>
          </w:tcPr>
          <w:p>
            <w:pPr>
              <w:spacing w:after="20"/>
            </w:pPr>
            <w:r>
              <w:rPr>
                <w:sz w:val="16"/>
              </w:rPr>
              <w:t>Audits security decisions without leaking protected data</w:t>
            </w:r>
          </w:p>
        </w:tc>
        <w:tc>
          <w:tcPr>
            <w:tcW w:type="dxa" w:w="2484"/>
          </w:tcPr>
          <w:p>
            <w:pPr>
              <w:spacing w:after="20"/>
            </w:pPr>
            <w:r>
              <w:rPr>
                <w:sz w:val="16"/>
              </w:rPr>
              <w:t>Measures traffic, congestion, retries, and recovery</w:t>
            </w:r>
          </w:p>
        </w:tc>
      </w:tr>
      <w:tr>
        <w:tc>
          <w:tcPr>
            <w:tcW w:type="dxa" w:w="2484"/>
          </w:tcPr>
          <w:p>
            <w:pPr>
              <w:spacing w:after="20"/>
            </w:pPr>
            <w:r>
              <w:rPr>
                <w:sz w:val="16"/>
              </w:rPr>
              <w:t>Versioning and conformance</w:t>
            </w:r>
          </w:p>
        </w:tc>
        <w:tc>
          <w:tcPr>
            <w:tcW w:type="dxa" w:w="2484"/>
          </w:tcPr>
          <w:p>
            <w:pPr>
              <w:spacing w:after="20"/>
            </w:pPr>
            <w:r>
              <w:rPr>
                <w:sz w:val="16"/>
              </w:rPr>
              <w:t>Keeps IR/runtime contracts coherent</w:t>
            </w:r>
          </w:p>
        </w:tc>
        <w:tc>
          <w:tcPr>
            <w:tcW w:type="dxa" w:w="2484"/>
          </w:tcPr>
          <w:p>
            <w:pPr>
              <w:spacing w:after="20"/>
            </w:pPr>
            <w:r>
              <w:rPr>
                <w:sz w:val="16"/>
              </w:rPr>
              <w:t>Keeps measurements and policy aligned with software versions</w:t>
            </w:r>
          </w:p>
        </w:tc>
        <w:tc>
          <w:tcPr>
            <w:tcW w:type="dxa" w:w="2484"/>
          </w:tcPr>
          <w:p>
            <w:pPr>
              <w:spacing w:after="20"/>
            </w:pPr>
            <w:r>
              <w:rPr>
                <w:sz w:val="16"/>
              </w:rPr>
              <w:t>Keeps protocol peers interoperable and safely upgradeable</w:t>
            </w:r>
          </w:p>
        </w:tc>
      </w:tr>
    </w:tbl>
    <w:p>
      <w:pPr>
        <w:pStyle w:val="Heading1"/>
      </w:pPr>
      <w:r>
        <w:t>5. Suggested evolution roadmap</w:t>
      </w:r>
    </w:p>
    <w:p>
      <w:pPr>
        <w:pStyle w:val="Heading2"/>
      </w:pPr>
      <w:r>
        <w:t>Phase 1 — Define contracts and prove feasibility</w:t>
      </w:r>
    </w:p>
    <w:p>
      <w:pPr>
        <w:pStyle w:val="ListBullet"/>
      </w:pPr>
      <w:r>
        <w:t>Publish architecture and threat models for all three directions.</w:t>
      </w:r>
    </w:p>
    <w:p>
      <w:pPr>
        <w:pStyle w:val="ListBullet"/>
      </w:pPr>
      <w:r>
        <w:t>Specify the programming/runtime boundary and target IR layers.</w:t>
      </w:r>
    </w:p>
    <w:p>
      <w:pPr>
        <w:pStyle w:val="ListBullet"/>
      </w:pPr>
      <w:r>
        <w:t>Define the CSDP wire format, compatibility rules, and benchmark suite.</w:t>
      </w:r>
    </w:p>
    <w:p>
      <w:pPr>
        <w:pStyle w:val="ListBullet"/>
      </w:pPr>
      <w:r>
        <w:t>Identify the exact hardware roots of trust and accelerator/fabric protections available today versus those requiring new silicon, firmware, or vendor support.</w:t>
      </w:r>
    </w:p>
    <w:p>
      <w:pPr>
        <w:pStyle w:val="ListBullet"/>
      </w:pPr>
      <w:r>
        <w:t>Build end-to-end prototypes on representative workloads.</w:t>
      </w:r>
    </w:p>
    <w:p>
      <w:pPr>
        <w:pStyle w:val="Heading2"/>
      </w:pPr>
      <w:r>
        <w:t>Phase 2 — Deliver integrated prototypes</w:t>
      </w:r>
    </w:p>
    <w:p>
      <w:pPr>
        <w:pStyle w:val="ListBullet"/>
      </w:pPr>
      <w:r>
        <w:t>Implement compiler/runtime slices and low-level inspection tools.</w:t>
      </w:r>
    </w:p>
    <w:p>
      <w:pPr>
        <w:pStyle w:val="ListBullet"/>
      </w:pPr>
      <w:r>
        <w:t>Prototype CSDP data-plane transfers alongside conventional control-plane APIs.</w:t>
      </w:r>
    </w:p>
    <w:p>
      <w:pPr>
        <w:pStyle w:val="ListBullet"/>
      </w:pPr>
      <w:r>
        <w:t>Demonstrate a composite attestation flow and customer-controlled key release.</w:t>
      </w:r>
    </w:p>
    <w:p>
      <w:pPr>
        <w:pStyle w:val="ListBullet"/>
      </w:pPr>
      <w:r>
        <w:t>Carry tensor layout, workload identity, and security metadata through the same end-to-end workload path.</w:t>
      </w:r>
    </w:p>
    <w:p>
      <w:pPr>
        <w:pStyle w:val="ListBullet"/>
      </w:pPr>
      <w:r>
        <w:t>Benchmark against the existing software and transport baseline.</w:t>
      </w:r>
    </w:p>
    <w:p>
      <w:pPr>
        <w:pStyle w:val="Heading2"/>
      </w:pPr>
      <w:r>
        <w:t>Phase 3 — Harden and scale</w:t>
      </w:r>
    </w:p>
    <w:p>
      <w:pPr>
        <w:pStyle w:val="ListBullet"/>
      </w:pPr>
      <w:r>
        <w:t>Validate multi-device and multi-system behavior, failure recovery, and upgrade compatibility.</w:t>
      </w:r>
    </w:p>
    <w:p>
      <w:pPr>
        <w:pStyle w:val="ListBullet"/>
      </w:pPr>
      <w:r>
        <w:t>Conduct independent security review, threat-model testing, and adversarial protocol testing.</w:t>
      </w:r>
    </w:p>
    <w:p>
      <w:pPr>
        <w:pStyle w:val="ListBullet"/>
      </w:pPr>
      <w:r>
        <w:t>Add profiling, debugging, conformance suites, and developer documentation.</w:t>
      </w:r>
    </w:p>
    <w:p>
      <w:pPr>
        <w:pStyle w:val="ListBullet"/>
      </w:pPr>
      <w:r>
        <w:t>Establish versioned compatibility guarantees for the public APIs, IRs, wire protocol, and attestation claims.</w:t>
      </w:r>
    </w:p>
    <w:p>
      <w:pPr>
        <w:pStyle w:val="Heading2"/>
      </w:pPr>
      <w:r>
        <w:t>Phase 4 — Ecosystem and production adoption</w:t>
      </w:r>
    </w:p>
    <w:p>
      <w:pPr>
        <w:pStyle w:val="ListBullet"/>
      </w:pPr>
      <w:r>
        <w:t>Enable framework adapters, libraries, developer tooling, and third-party compiler integrations.</w:t>
      </w:r>
    </w:p>
    <w:p>
      <w:pPr>
        <w:pStyle w:val="ListBullet"/>
      </w:pPr>
      <w:r>
        <w:t>Offer deployment profiles for confidential inference, private training, and distributed workloads.</w:t>
      </w:r>
    </w:p>
    <w:p>
      <w:pPr>
        <w:pStyle w:val="ListBullet"/>
      </w:pPr>
      <w:r>
        <w:t>Establish certification, vulnerability response, key-management integration, and long-term protocol governance.</w:t>
      </w:r>
    </w:p>
    <w:p>
      <w:pPr>
        <w:pStyle w:val="Heading1"/>
      </w:pPr>
      <w:r>
        <w:t>6. Success criteria</w:t>
      </w:r>
    </w:p>
    <w:p>
      <w:r>
        <w:t>Success should be measured with explicit baselines rather than broad claims:</w:t>
      </w:r>
    </w:p>
    <w:p>
      <w:pPr>
        <w:pStyle w:val="ListBullet"/>
      </w:pPr>
      <w:r>
        <w:t>**Programming:** developer productivity, kernel performance, compile time, debuggability, and portability across supported target generations.</w:t>
      </w:r>
    </w:p>
    <w:p>
      <w:pPr>
        <w:pStyle w:val="ListBullet"/>
      </w:pPr>
      <w:r>
        <w:t>**Distribution:** sustained tensor throughput, end-to-end latency, CPU cost per byte, copy count, scaling efficiency, recovery time, and tail latency.</w:t>
      </w:r>
    </w:p>
    <w:p>
      <w:pPr>
        <w:pStyle w:val="ListBullet"/>
      </w:pPr>
      <w:r>
        <w:t>**Confidentiality:** completeness of the trust-boundary inventory, attestation coverage, key-release correctness, isolation tests, auditability, and independently reviewed residual risks.</w:t>
      </w:r>
    </w:p>
    <w:p>
      <w:pPr>
        <w:pStyle w:val="ListBullet"/>
      </w:pPr>
      <w:r>
        <w:t>**Integration:** ability to execute a representative workload with consistent identity, tensor metadata, policy, profiling, and failure handling across compilation, device execution, and distributed transfer.</w:t>
      </w:r>
    </w:p>
    <w:p>
      <w:r>
        <w:t>No performance or security level should be claimed until demonstrated by reproducible benchmarks, hardware-backed evidence where required, and documented tests.</w:t>
      </w:r>
    </w:p>
    <w:p>
      <w:pPr>
        <w:pStyle w:val="Heading1"/>
      </w:pPr>
      <w:r>
        <w:t>Conclusion</w:t>
      </w:r>
    </w:p>
    <w:p>
      <w:r>
        <w:t xml:space="preserve">Cerebras' future evolution can be organized around three strategic pillars: </w:t>
      </w:r>
      <w:r>
        <w:rPr>
          <w:b/>
        </w:rPr>
        <w:t>native parallel programmability, end-to-end confidential execution, and efficient distributed coordination</w:t>
      </w:r>
      <w:r>
        <w:t>. A compiler-led execution platform makes the hardware more accessible; a composite TEE makes sensitive AI workloads more trustworthy; and a dedicated streaming/distribution protocol makes multi-system execution more scalable.</w:t>
      </w:r>
    </w:p>
    <w:p>
      <w:r>
        <w:t>The architecture should be developed as an integrated platform with explicit interfaces and measurable guarantees. Mojo and Rust can form complementary parts of the programming and systems stack; MLIR can provide an extensible compiler spine; C-CCA can define the composite trust model; and CSDP can define efficient, recoverable data movement. The proposals require feasibility validation against Cerebras hardware capabilities, firmware interfaces, and supported interconnects, but together they establish a coherent research and engineering roadmap toward a more programmable, secure, and distributed Cerebras ecosystem.</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Strategic architecture proposal • 15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CEREBRAS FUTURE EVOLUTION  |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