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Pr>
        <w:drawing>
          <wp:inline distB="0" distT="0" distL="0" distR="0">
            <wp:extent cx="1549817" cy="2086293"/>
            <wp:effectExtent b="0" l="0" r="0" t="0"/>
            <wp:docPr descr="C:\Users\EPIS\Documents\upt.png" id="1"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1549817" cy="20862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FACULTAD DE INGENIERÍA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Escuela Profesional de Ingeniería de Sistemas</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Sistema Web para la Modernización Digital y Trazabilidad Logística de Exportaciones en Nodiex del Perú S.A.C. </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5b9bd5"/>
          <w:sz w:val="30"/>
          <w:szCs w:val="30"/>
        </w:rPr>
      </w:pPr>
      <w:r w:rsidDel="00000000" w:rsidR="00000000" w:rsidRPr="00000000">
        <w:rPr>
          <w:rFonts w:ascii="Times New Roman" w:cs="Times New Roman" w:eastAsia="Times New Roman" w:hAnsi="Times New Roman"/>
          <w:sz w:val="30"/>
          <w:szCs w:val="30"/>
          <w:rtl w:val="0"/>
        </w:rPr>
        <w:t xml:space="preserve">Curso: Gestión de Proyectos </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Docente: Dr. Matha Paredes Vignola </w:t>
      </w:r>
    </w:p>
    <w:p w:rsidR="00000000" w:rsidDel="00000000" w:rsidP="00000000" w:rsidRDefault="00000000" w:rsidRPr="00000000" w14:paraId="0000000B">
      <w:pPr>
        <w:spacing w:after="0" w:line="360" w:lineRule="auto"/>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Integrantes:</w:t>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Carbajal Vargas, Andre Alejandro (2023077287)</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Llanos Niño, Vincenzo Rafael (2023076797)</w:t>
      </w:r>
    </w:p>
    <w:p w:rsidR="00000000" w:rsidDel="00000000" w:rsidP="00000000" w:rsidRDefault="00000000" w:rsidRPr="00000000" w14:paraId="0000000F">
      <w:pPr>
        <w:spacing w:after="0" w:line="360" w:lineRule="auto"/>
        <w:ind w:firstLine="7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Yupa Gomez, Fatima Sofia  (2023076618)</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Zapana Murillo, Kiara Holly (2023077087)</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2026</w:t>
      </w:r>
    </w:p>
    <w:p w:rsidR="00000000" w:rsidDel="00000000" w:rsidP="00000000" w:rsidRDefault="00000000" w:rsidRPr="00000000" w14:paraId="00000015">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line="360" w:lineRule="auto"/>
        <w:jc w:val="right"/>
        <w:rPr>
          <w:rFonts w:ascii="Times New Roman" w:cs="Times New Roman" w:eastAsia="Times New Roman" w:hAnsi="Times New Roman"/>
          <w:b w:val="1"/>
          <w:bCs w:val="1"/>
          <w:sz w:val="50"/>
          <w:szCs w:val="50"/>
          <w:u w:val="single"/>
        </w:rPr>
      </w:pPr>
      <w:r w:rsidDel="00000000" w:rsidR="00000000" w:rsidRPr="00000000">
        <w:rPr>
          <w:rtl w:val="0"/>
        </w:rPr>
      </w:r>
    </w:p>
    <w:p w:rsidR="00000000" w:rsidDel="00000000" w:rsidP="00000000" w:rsidRDefault="00000000" w:rsidRPr="00000000" w14:paraId="0000001B">
      <w:pPr>
        <w:pStyle w:val="Title"/>
        <w:spacing w:line="360" w:lineRule="auto"/>
        <w:jc w:val="right"/>
        <w:rPr>
          <w:rFonts w:ascii="Times New Roman" w:cs="Times New Roman" w:eastAsia="Times New Roman" w:hAnsi="Times New Roman"/>
        </w:rPr>
      </w:pPr>
      <w:bookmarkStart w:colFirst="0" w:colLast="0" w:name="_heading=h.ousaendrkxru" w:id="0"/>
      <w:bookmarkEnd w:id="0"/>
      <w:r w:rsidDel="00000000" w:rsidR="00000000" w:rsidRPr="00000000">
        <w:rPr>
          <w:rFonts w:ascii="Times New Roman" w:cs="Times New Roman" w:eastAsia="Times New Roman" w:hAnsi="Times New Roman"/>
          <w:sz w:val="50"/>
          <w:szCs w:val="50"/>
          <w:highlight w:val="white"/>
          <w:rtl w:val="0"/>
        </w:rPr>
        <w:t xml:space="preserve">Sistema Web para la Modernización Digital y Trazabilidad Logística de Exportaciones en Nodiex del Perú S.A.C. </w:t>
      </w:r>
      <w:r w:rsidDel="00000000" w:rsidR="00000000" w:rsidRPr="00000000">
        <w:rPr>
          <w:rtl w:val="0"/>
        </w:rPr>
      </w:r>
    </w:p>
    <w:p w:rsidR="00000000" w:rsidDel="00000000" w:rsidP="00000000" w:rsidRDefault="00000000" w:rsidRPr="00000000" w14:paraId="0000001C">
      <w:pPr>
        <w:pStyle w:val="Title"/>
        <w:spacing w:line="360" w:lineRule="auto"/>
        <w:jc w:val="right"/>
        <w:rPr>
          <w:rFonts w:ascii="Times New Roman" w:cs="Times New Roman" w:eastAsia="Times New Roman" w:hAnsi="Times New Roman"/>
        </w:rPr>
      </w:pPr>
      <w:bookmarkStart w:colFirst="0" w:colLast="0" w:name="_heading=h.jahmpn9n3wpd" w:id="1"/>
      <w:bookmarkEnd w:id="1"/>
      <w:r w:rsidDel="00000000" w:rsidR="00000000" w:rsidRPr="00000000">
        <w:rPr>
          <w:rFonts w:ascii="Times New Roman" w:cs="Times New Roman" w:eastAsia="Times New Roman" w:hAnsi="Times New Roman"/>
          <w:rtl w:val="0"/>
        </w:rPr>
        <w:t xml:space="preserve">Informe de Factibilidad</w:t>
      </w:r>
    </w:p>
    <w:p w:rsidR="00000000" w:rsidDel="00000000" w:rsidP="00000000" w:rsidRDefault="00000000" w:rsidRPr="00000000" w14:paraId="0000001D">
      <w:pPr>
        <w:pStyle w:val="Title"/>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85"/>
        <w:gridCol w:w="1335"/>
        <w:gridCol w:w="1485"/>
        <w:gridCol w:w="1530"/>
        <w:gridCol w:w="1560"/>
        <w:gridCol w:w="2220"/>
        <w:tblGridChange w:id="0">
          <w:tblGrid>
            <w:gridCol w:w="885"/>
            <w:gridCol w:w="1335"/>
            <w:gridCol w:w="1485"/>
            <w:gridCol w:w="1530"/>
            <w:gridCol w:w="1560"/>
            <w:gridCol w:w="222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f2f2f2" w:val="clear"/>
            <w:vAlign w:val="center"/>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Hecha por</w:t>
            </w:r>
          </w:p>
        </w:tc>
        <w:tc>
          <w:tcPr>
            <w:shd w:fill="f2f2f2" w:val="clear"/>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 por</w:t>
            </w:r>
          </w:p>
        </w:tc>
        <w:tc>
          <w:tcPr>
            <w:shd w:fill="f2f2f2" w:val="clear"/>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Aprobada por</w:t>
            </w:r>
          </w:p>
        </w:tc>
        <w:tc>
          <w:tcPr>
            <w:shd w:fill="f2f2f2" w:val="clear"/>
            <w:vAlign w:val="center"/>
          </w:tcPr>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f2f2f2" w:val="clear"/>
            <w:vAlign w:val="center"/>
          </w:tcPr>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tc>
      </w:tr>
      <w:tr>
        <w:trPr>
          <w:cantSplit w:val="0"/>
          <w:trHeight w:val="227" w:hRule="atLeast"/>
          <w:tblHeader w:val="0"/>
        </w:trPr>
        <w:tc>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KHZM / FSYP </w:t>
            </w:r>
          </w:p>
        </w:tc>
        <w:tc>
          <w:tcPr/>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VRLN / AACV</w:t>
            </w:r>
          </w:p>
        </w:tc>
        <w:tc>
          <w:tcPr/>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KHZM / AACV</w:t>
            </w:r>
          </w:p>
        </w:tc>
        <w:tc>
          <w:tcP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14/05/2026</w:t>
            </w:r>
          </w:p>
        </w:tc>
        <w:tc>
          <w:tcPr>
            <w:shd w:fill="auto" w:val="cle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w:t>
            </w:r>
          </w:p>
        </w:tc>
      </w:tr>
    </w:tbl>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keepNext w:val="1"/>
        <w:keepLines w:val="1"/>
        <w:tabs>
          <w:tab w:val="right" w:leader="none" w:pos="7511.811023622047"/>
        </w:tabs>
        <w:spacing w:after="0" w:before="24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ÍNDICE GENERAL</w:t>
      </w:r>
      <w:r w:rsidDel="00000000" w:rsidR="00000000" w:rsidRPr="00000000">
        <w:rPr>
          <w:rtl w:val="0"/>
        </w:rPr>
      </w:r>
    </w:p>
    <w:sdt>
      <w:sdtPr>
        <w:id w:val="1524739711"/>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fcaap872n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xn06jsxe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lqfktdmc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hkfw9q8u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feesg3yi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kqd5h0tr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OBJETIVO GENERAL</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mzcutyac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OBJETIVOS ESPECÍFICOS</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n3scpmtzg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tzy1qrkmhb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jqyq3aye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9ai9yvvc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CONSIDERACIONES DE HARDWARE Y SOFTWARE</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ty6dz3i75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ESTUDIO DE FACTIBILIDAD</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z4rz5yrd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FACTIBILIDAD TÉCNICA</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jopdwcker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FACTIBILIDAD ECONÓMICA</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l1mjj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168zj1vb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FACTIBILIDAD LEGAL</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083ami9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FACTIBILIDAD SOCIAL</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lbglqxqz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FACTIBILIDAD AMBIENTAL</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egappz1yax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ANÁLISIS FINANCIERO</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uv2cx3yp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DE LA INVERSIÓN</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z069tj5y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BENEFICIOS DEL PROYECTO</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bdfo4jey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BENEFICIOS TANGIBLES</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wq474546k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BENEFICIOS INTANGIBLES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x0jhxspu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TABLA DE EGRESOS OPERATIVOS ANUALES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vqtnfsnb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TABLA DE INGRESOS ANUALES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pudakxa0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MATRIZ DEL FLUJO DE CAJA NETO</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emetwh6n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CRITERIOS DE INVERSIÓN</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hh1l46we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 VALOR ACTUAL NETO (VAN)</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dq1z3m9m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 TASA INTERNA DE RETORNO</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pvb27ias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5.6.3. RELACIÓN BENEFICIO/COSTO (B/C)</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oec5lruj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9">
      <w:pPr>
        <w:pStyle w:val="Heading1"/>
        <w:spacing w:after="0" w:line="360" w:lineRule="auto"/>
        <w:ind w:left="0" w:firstLine="0"/>
        <w:jc w:val="both"/>
        <w:rPr>
          <w:rFonts w:ascii="Times New Roman" w:cs="Times New Roman" w:eastAsia="Times New Roman" w:hAnsi="Times New Roman"/>
          <w:b w:val="1"/>
          <w:bCs w:val="1"/>
          <w:color w:val="000000"/>
          <w:sz w:val="24"/>
          <w:szCs w:val="24"/>
        </w:rPr>
      </w:pPr>
      <w:bookmarkStart w:colFirst="0" w:colLast="0" w:name="_heading=h.bl7geqxvn2vm" w:id="2"/>
      <w:bookmarkEnd w:id="2"/>
      <w:r w:rsidDel="00000000" w:rsidR="00000000" w:rsidRPr="00000000">
        <w:rPr>
          <w:rtl w:val="0"/>
        </w:rPr>
      </w:r>
    </w:p>
    <w:p w:rsidR="00000000" w:rsidDel="00000000" w:rsidP="00000000" w:rsidRDefault="00000000" w:rsidRPr="00000000" w14:paraId="0000005A">
      <w:pPr>
        <w:pStyle w:val="Heading1"/>
        <w:numPr>
          <w:ilvl w:val="0"/>
          <w:numId w:val="7"/>
        </w:numPr>
        <w:spacing w:after="0" w:line="360" w:lineRule="auto"/>
        <w:ind w:left="720" w:hanging="360"/>
        <w:jc w:val="both"/>
        <w:rPr>
          <w:rFonts w:ascii="Times New Roman" w:cs="Times New Roman" w:eastAsia="Times New Roman" w:hAnsi="Times New Roman"/>
          <w:b w:val="1"/>
          <w:bCs w:val="1"/>
          <w:sz w:val="24"/>
          <w:szCs w:val="24"/>
        </w:rPr>
      </w:pPr>
      <w:bookmarkStart w:colFirst="0" w:colLast="0" w:name="_heading=h.4fcaap872n07" w:id="3"/>
      <w:bookmarkEnd w:id="3"/>
      <w:r w:rsidDel="00000000" w:rsidR="00000000" w:rsidRPr="00000000">
        <w:rPr>
          <w:rFonts w:ascii="Times New Roman" w:cs="Times New Roman" w:eastAsia="Times New Roman" w:hAnsi="Times New Roman"/>
          <w:b w:val="1"/>
          <w:bCs w:val="1"/>
          <w:color w:val="000000"/>
          <w:sz w:val="24"/>
          <w:szCs w:val="24"/>
          <w:rtl w:val="0"/>
        </w:rPr>
        <w:t xml:space="preserve">DESCRIPCIÓN DEL PROYECTO</w:t>
      </w:r>
      <w:r w:rsidDel="00000000" w:rsidR="00000000" w:rsidRPr="00000000">
        <w:rPr>
          <w:rtl w:val="0"/>
        </w:rPr>
      </w:r>
    </w:p>
    <w:p w:rsidR="00000000" w:rsidDel="00000000" w:rsidP="00000000" w:rsidRDefault="00000000" w:rsidRPr="00000000" w14:paraId="0000005B">
      <w:pPr>
        <w:pStyle w:val="Heading2"/>
        <w:numPr>
          <w:ilvl w:val="1"/>
          <w:numId w:val="7"/>
        </w:numPr>
        <w:spacing w:after="240" w:before="0" w:line="360" w:lineRule="auto"/>
        <w:ind w:left="1440" w:hanging="360"/>
        <w:jc w:val="both"/>
        <w:rPr>
          <w:rFonts w:ascii="Times New Roman" w:cs="Times New Roman" w:eastAsia="Times New Roman" w:hAnsi="Times New Roman"/>
          <w:b w:val="1"/>
          <w:bCs w:val="1"/>
          <w:sz w:val="24"/>
          <w:szCs w:val="24"/>
        </w:rPr>
      </w:pPr>
      <w:bookmarkStart w:colFirst="0" w:colLast="0" w:name="_heading=h.ylxn06jsxe75" w:id="4"/>
      <w:bookmarkEnd w:id="4"/>
      <w:r w:rsidDel="00000000" w:rsidR="00000000" w:rsidRPr="00000000">
        <w:rPr>
          <w:rFonts w:ascii="Times New Roman" w:cs="Times New Roman" w:eastAsia="Times New Roman" w:hAnsi="Times New Roman"/>
          <w:sz w:val="24"/>
          <w:szCs w:val="24"/>
          <w:rtl w:val="0"/>
        </w:rPr>
        <w:t xml:space="preserve">NOMBRE DEL PROYECTO</w:t>
      </w:r>
      <w:r w:rsidDel="00000000" w:rsidR="00000000" w:rsidRPr="00000000">
        <w:rPr>
          <w:rtl w:val="0"/>
        </w:rPr>
      </w:r>
    </w:p>
    <w:p w:rsidR="00000000" w:rsidDel="00000000" w:rsidP="00000000" w:rsidRDefault="00000000" w:rsidRPr="00000000" w14:paraId="0000005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Sistema Web para la Modernización Digital y Trazabilidad Logística de Exportaciones en Nodiex del Perú S.A.C.</w:t>
      </w:r>
      <w:r w:rsidDel="00000000" w:rsidR="00000000" w:rsidRPr="00000000">
        <w:rPr>
          <w:rtl w:val="0"/>
        </w:rPr>
      </w:r>
    </w:p>
    <w:p w:rsidR="00000000" w:rsidDel="00000000" w:rsidP="00000000" w:rsidRDefault="00000000" w:rsidRPr="00000000" w14:paraId="0000005D">
      <w:pPr>
        <w:pStyle w:val="Heading2"/>
        <w:numPr>
          <w:ilvl w:val="1"/>
          <w:numId w:val="7"/>
        </w:numPr>
        <w:spacing w:after="240" w:before="240" w:line="360" w:lineRule="auto"/>
        <w:ind w:left="1440" w:hanging="360"/>
        <w:jc w:val="both"/>
        <w:rPr>
          <w:rFonts w:ascii="Times New Roman" w:cs="Times New Roman" w:eastAsia="Times New Roman" w:hAnsi="Times New Roman"/>
          <w:b w:val="1"/>
          <w:bCs w:val="1"/>
          <w:sz w:val="24"/>
          <w:szCs w:val="24"/>
        </w:rPr>
      </w:pPr>
      <w:bookmarkStart w:colFirst="0" w:colLast="0" w:name="_heading=h.7llqfktdmcik" w:id="5"/>
      <w:bookmarkEnd w:id="5"/>
      <w:r w:rsidDel="00000000" w:rsidR="00000000" w:rsidRPr="00000000">
        <w:rPr>
          <w:rFonts w:ascii="Times New Roman" w:cs="Times New Roman" w:eastAsia="Times New Roman" w:hAnsi="Times New Roman"/>
          <w:sz w:val="24"/>
          <w:szCs w:val="24"/>
          <w:rtl w:val="0"/>
        </w:rPr>
        <w:t xml:space="preserve">DURACIÓN DEL PROYECTO</w:t>
      </w:r>
      <w:r w:rsidDel="00000000" w:rsidR="00000000" w:rsidRPr="00000000">
        <w:rPr>
          <w:rtl w:val="0"/>
        </w:rPr>
      </w:r>
    </w:p>
    <w:p w:rsidR="00000000" w:rsidDel="00000000" w:rsidP="00000000" w:rsidRDefault="00000000" w:rsidRPr="00000000" w14:paraId="0000005E">
      <w:pPr>
        <w:shd w:fill="ffffff" w:val="clear"/>
        <w:spacing w:after="240" w:before="340" w:line="360" w:lineRule="auto"/>
        <w:ind w:left="1440" w:firstLine="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proyecto tiene una duración establecida de 10 semanas, iniciando el 09 de abril y concluyendo el 24 de junio.</w:t>
      </w:r>
    </w:p>
    <w:p w:rsidR="00000000" w:rsidDel="00000000" w:rsidP="00000000" w:rsidRDefault="00000000" w:rsidRPr="00000000" w14:paraId="0000005F">
      <w:pPr>
        <w:pStyle w:val="Heading2"/>
        <w:numPr>
          <w:ilvl w:val="1"/>
          <w:numId w:val="7"/>
        </w:numPr>
        <w:ind w:left="1440" w:hanging="360"/>
        <w:rPr>
          <w:rFonts w:ascii="Times New Roman" w:cs="Times New Roman" w:eastAsia="Times New Roman" w:hAnsi="Times New Roman"/>
          <w:b w:val="1"/>
          <w:bCs w:val="1"/>
          <w:sz w:val="24"/>
          <w:szCs w:val="24"/>
        </w:rPr>
      </w:pPr>
      <w:bookmarkStart w:colFirst="0" w:colLast="0" w:name="_heading=h.efhkfw9q8u6d" w:id="6"/>
      <w:bookmarkEnd w:id="6"/>
      <w:r w:rsidDel="00000000" w:rsidR="00000000" w:rsidRPr="00000000">
        <w:rPr>
          <w:rtl w:val="0"/>
        </w:rPr>
        <w:t xml:space="preserve">DESCRIPCIÓN</w:t>
      </w:r>
      <w:r w:rsidDel="00000000" w:rsidR="00000000" w:rsidRPr="00000000">
        <w:rPr>
          <w:rtl w:val="0"/>
        </w:rPr>
      </w:r>
    </w:p>
    <w:p w:rsidR="00000000" w:rsidDel="00000000" w:rsidP="00000000" w:rsidRDefault="00000000" w:rsidRPr="00000000" w14:paraId="00000060">
      <w:pPr>
        <w:spacing w:line="360" w:lineRule="auto"/>
        <w:ind w:left="1440" w:firstLine="0"/>
        <w:rPr/>
      </w:pPr>
      <w:r w:rsidDel="00000000" w:rsidR="00000000" w:rsidRPr="00000000">
        <w:rPr>
          <w:rFonts w:ascii="Times New Roman" w:cs="Times New Roman" w:eastAsia="Times New Roman" w:hAnsi="Times New Roman"/>
          <w:sz w:val="24"/>
          <w:szCs w:val="24"/>
          <w:highlight w:val="white"/>
          <w:rtl w:val="0"/>
        </w:rPr>
        <w:t xml:space="preserve">El proyecto consiste en el desarrollo e implementación de un sistema web dinámico y escalable enfocado en la modernización digital y la trazabilidad logística de exportaciones para la empresa NODIEX DEL PERÚ S.A.C. La iniciativa busca transformar la infraestructura tecnológica de la empresa mediante la automatización del seguimiento de cargamentos internacionales y la centralización de la información comercial en tiempo real. Su importancia radica en la mitigación de la incertidumbre del cliente extranjero B2B (Business-to-Business), la optimización de los tiempos de respuesta y la proyección de una imagen corporativa competitiva bajo estándares globales de agroexportación. </w:t>
      </w:r>
      <w:r w:rsidDel="00000000" w:rsidR="00000000" w:rsidRPr="00000000">
        <w:rPr>
          <w:rtl w:val="0"/>
        </w:rPr>
      </w:r>
    </w:p>
    <w:p w:rsidR="00000000" w:rsidDel="00000000" w:rsidP="00000000" w:rsidRDefault="00000000" w:rsidRPr="00000000" w14:paraId="00000061">
      <w:pPr>
        <w:pStyle w:val="Heading2"/>
        <w:numPr>
          <w:ilvl w:val="1"/>
          <w:numId w:val="7"/>
        </w:numPr>
        <w:spacing w:after="0" w:before="240" w:line="360" w:lineRule="auto"/>
        <w:ind w:left="1440" w:hanging="360"/>
        <w:jc w:val="both"/>
        <w:rPr>
          <w:rFonts w:ascii="Times New Roman" w:cs="Times New Roman" w:eastAsia="Times New Roman" w:hAnsi="Times New Roman"/>
          <w:b w:val="1"/>
          <w:bCs w:val="1"/>
          <w:sz w:val="24"/>
          <w:szCs w:val="24"/>
        </w:rPr>
      </w:pPr>
      <w:bookmarkStart w:colFirst="0" w:colLast="0" w:name="_heading=h.fafeesg3yixj" w:id="7"/>
      <w:bookmarkEnd w:id="7"/>
      <w:r w:rsidDel="00000000" w:rsidR="00000000" w:rsidRPr="00000000">
        <w:rPr>
          <w:rFonts w:ascii="Times New Roman" w:cs="Times New Roman" w:eastAsia="Times New Roman" w:hAnsi="Times New Roman"/>
          <w:sz w:val="24"/>
          <w:szCs w:val="24"/>
          <w:rtl w:val="0"/>
        </w:rPr>
        <w:t xml:space="preserve">OBJETIVOS</w:t>
      </w:r>
      <w:r w:rsidDel="00000000" w:rsidR="00000000" w:rsidRPr="00000000">
        <w:rPr>
          <w:rtl w:val="0"/>
        </w:rPr>
      </w:r>
    </w:p>
    <w:p w:rsidR="00000000" w:rsidDel="00000000" w:rsidP="00000000" w:rsidRDefault="00000000" w:rsidRPr="00000000" w14:paraId="00000062">
      <w:pPr>
        <w:pStyle w:val="Heading3"/>
        <w:numPr>
          <w:ilvl w:val="2"/>
          <w:numId w:val="7"/>
        </w:numPr>
        <w:spacing w:after="240" w:before="0" w:line="360" w:lineRule="auto"/>
        <w:ind w:left="2160" w:hanging="360"/>
        <w:jc w:val="both"/>
        <w:rPr>
          <w:rFonts w:ascii="Times New Roman" w:cs="Times New Roman" w:eastAsia="Times New Roman" w:hAnsi="Times New Roman"/>
          <w:b w:val="1"/>
          <w:bCs w:val="1"/>
          <w:sz w:val="24"/>
          <w:szCs w:val="24"/>
        </w:rPr>
      </w:pPr>
      <w:bookmarkStart w:colFirst="0" w:colLast="0" w:name="_heading=h.u6kqd5h0trh3" w:id="8"/>
      <w:bookmarkEnd w:id="8"/>
      <w:r w:rsidDel="00000000" w:rsidR="00000000" w:rsidRPr="00000000">
        <w:rPr>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63">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Implementar un sistema web de trazabilidad logística y modernización digital para optimizar la eficiencia operativa, agilizar los tiempos de distribución y fortalecer las relaciones comerciales electrónicas B2B de la empresa NODIEX DEL PERÚ S.A.C. en el mercado internacional. </w:t>
      </w:r>
    </w:p>
    <w:p w:rsidR="00000000" w:rsidDel="00000000" w:rsidP="00000000" w:rsidRDefault="00000000" w:rsidRPr="00000000" w14:paraId="00000064">
      <w:pPr>
        <w:spacing w:after="240" w:before="240" w:line="360" w:lineRule="auto"/>
        <w:ind w:left="216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pStyle w:val="Heading3"/>
        <w:numPr>
          <w:ilvl w:val="2"/>
          <w:numId w:val="7"/>
        </w:numPr>
        <w:spacing w:after="0" w:before="240" w:line="360" w:lineRule="auto"/>
        <w:ind w:left="2160" w:hanging="360"/>
        <w:jc w:val="both"/>
        <w:rPr>
          <w:rFonts w:ascii="Times New Roman" w:cs="Times New Roman" w:eastAsia="Times New Roman" w:hAnsi="Times New Roman"/>
          <w:b w:val="1"/>
          <w:bCs w:val="1"/>
          <w:sz w:val="24"/>
          <w:szCs w:val="24"/>
        </w:rPr>
      </w:pPr>
      <w:bookmarkStart w:colFirst="0" w:colLast="0" w:name="_heading=h.tcmzcutyachx" w:id="9"/>
      <w:bookmarkEnd w:id="9"/>
      <w:r w:rsidDel="00000000" w:rsidR="00000000" w:rsidRPr="00000000">
        <w:rPr>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66">
      <w:pPr>
        <w:numPr>
          <w:ilvl w:val="0"/>
          <w:numId w:val="1"/>
        </w:numPr>
        <w:shd w:fill="ffffff" w:val="clear"/>
        <w:spacing w:after="0" w:before="0"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Automatización del Seguimiento</w:t>
      </w:r>
      <w:r w:rsidDel="00000000" w:rsidR="00000000" w:rsidRPr="00000000">
        <w:rPr>
          <w:rtl w:val="0"/>
        </w:rPr>
      </w:r>
    </w:p>
    <w:p w:rsidR="00000000" w:rsidDel="00000000" w:rsidP="00000000" w:rsidRDefault="00000000" w:rsidRPr="00000000" w14:paraId="00000067">
      <w:pPr>
        <w:shd w:fill="ffffff" w:val="clear"/>
        <w:spacing w:after="0" w:before="0" w:line="360" w:lineRule="auto"/>
        <w:ind w:left="288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Desarrollar un módulo de </w:t>
      </w:r>
      <w:r w:rsidDel="00000000" w:rsidR="00000000" w:rsidRPr="00000000">
        <w:rPr>
          <w:rFonts w:ascii="Times New Roman" w:cs="Times New Roman" w:eastAsia="Times New Roman" w:hAnsi="Times New Roman"/>
          <w:i w:val="1"/>
          <w:iCs w:val="1"/>
          <w:sz w:val="24"/>
          <w:szCs w:val="24"/>
          <w:highlight w:val="white"/>
          <w:rtl w:val="0"/>
        </w:rPr>
        <w:t xml:space="preserve">tracking</w:t>
      </w:r>
      <w:r w:rsidDel="00000000" w:rsidR="00000000" w:rsidRPr="00000000">
        <w:rPr>
          <w:rFonts w:ascii="Times New Roman" w:cs="Times New Roman" w:eastAsia="Times New Roman" w:hAnsi="Times New Roman"/>
          <w:sz w:val="24"/>
          <w:szCs w:val="24"/>
          <w:highlight w:val="white"/>
          <w:rtl w:val="0"/>
        </w:rPr>
        <w:t xml:space="preserve"> logístico basado en códigos únicos y opacos que permita a los clientes internacionales consultar en tiempo real el estado y ubicación de sus despachos sin requerir autenticación. </w:t>
      </w:r>
      <w:r w:rsidDel="00000000" w:rsidR="00000000" w:rsidRPr="00000000">
        <w:rPr>
          <w:rtl w:val="0"/>
        </w:rPr>
      </w:r>
    </w:p>
    <w:p w:rsidR="00000000" w:rsidDel="00000000" w:rsidP="00000000" w:rsidRDefault="00000000" w:rsidRPr="00000000" w14:paraId="00000068">
      <w:pPr>
        <w:numPr>
          <w:ilvl w:val="0"/>
          <w:numId w:val="1"/>
        </w:numPr>
        <w:shd w:fill="ffffff" w:val="clear"/>
        <w:spacing w:after="0" w:before="0"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Gobernanza y Autonomía Digital </w:t>
      </w:r>
      <w:r w:rsidDel="00000000" w:rsidR="00000000" w:rsidRPr="00000000">
        <w:rPr>
          <w:rtl w:val="0"/>
        </w:rPr>
      </w:r>
    </w:p>
    <w:p w:rsidR="00000000" w:rsidDel="00000000" w:rsidP="00000000" w:rsidRDefault="00000000" w:rsidRPr="00000000" w14:paraId="00000069">
      <w:pPr>
        <w:shd w:fill="ffffff" w:val="clear"/>
        <w:spacing w:after="0" w:before="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Implementar un panel administrativo intuitivo que facilite la gestión autónoma del catálogo de productos y la publicación de certificaciones oficiales en tres idiomas (Español, Inglés y Portugués).</w:t>
      </w:r>
      <w:r w:rsidDel="00000000" w:rsidR="00000000" w:rsidRPr="00000000">
        <w:rPr>
          <w:rtl w:val="0"/>
        </w:rPr>
      </w:r>
    </w:p>
    <w:p w:rsidR="00000000" w:rsidDel="00000000" w:rsidP="00000000" w:rsidRDefault="00000000" w:rsidRPr="00000000" w14:paraId="0000006A">
      <w:pPr>
        <w:numPr>
          <w:ilvl w:val="0"/>
          <w:numId w:val="1"/>
        </w:numPr>
        <w:shd w:fill="ffffff" w:val="clear"/>
        <w:spacing w:after="0" w:before="0"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Optimización Operativa</w:t>
      </w:r>
      <w:r w:rsidDel="00000000" w:rsidR="00000000" w:rsidRPr="00000000">
        <w:rPr>
          <w:rtl w:val="0"/>
        </w:rPr>
      </w:r>
    </w:p>
    <w:p w:rsidR="00000000" w:rsidDel="00000000" w:rsidP="00000000" w:rsidRDefault="00000000" w:rsidRPr="00000000" w14:paraId="0000006B">
      <w:pPr>
        <w:shd w:fill="ffffff" w:val="clear"/>
        <w:spacing w:after="0" w:before="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Sincronizar el flujo logístico comercial adaptando las unidades de medida a estándares internacionales de exportación (Toneladas Métricas y contenedores de 20' y 40') bajo soporte multimoneda (PEN, USD, EUR). </w:t>
      </w:r>
      <w:r w:rsidDel="00000000" w:rsidR="00000000" w:rsidRPr="00000000">
        <w:rPr>
          <w:rtl w:val="0"/>
        </w:rPr>
      </w:r>
    </w:p>
    <w:p w:rsidR="00000000" w:rsidDel="00000000" w:rsidP="00000000" w:rsidRDefault="00000000" w:rsidRPr="00000000" w14:paraId="0000006C">
      <w:pPr>
        <w:numPr>
          <w:ilvl w:val="0"/>
          <w:numId w:val="1"/>
        </w:numPr>
        <w:shd w:fill="ffffff" w:val="clear"/>
        <w:spacing w:after="0" w:before="0" w:line="360" w:lineRule="auto"/>
        <w:ind w:left="288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Seguridad y Control de Accesos</w:t>
      </w:r>
    </w:p>
    <w:p w:rsidR="00000000" w:rsidDel="00000000" w:rsidP="00000000" w:rsidRDefault="00000000" w:rsidRPr="00000000" w14:paraId="0000006D">
      <w:pPr>
        <w:shd w:fill="ffffff" w:val="clear"/>
        <w:spacing w:after="0" w:before="0" w:line="360" w:lineRule="auto"/>
        <w:ind w:left="2880" w:firstLine="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Diseñar un sistema de roles y permisos mediante el uso de JSON Web Tokens (JWT) y cifrado seguro para salvaguardar la integridad de la información corporativa. </w:t>
      </w:r>
      <w:r w:rsidDel="00000000" w:rsidR="00000000" w:rsidRPr="00000000">
        <w:rPr>
          <w:rtl w:val="0"/>
        </w:rPr>
      </w:r>
    </w:p>
    <w:p w:rsidR="00000000" w:rsidDel="00000000" w:rsidP="00000000" w:rsidRDefault="00000000" w:rsidRPr="00000000" w14:paraId="0000006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numPr>
          <w:ilvl w:val="0"/>
          <w:numId w:val="7"/>
        </w:numPr>
        <w:spacing w:line="360" w:lineRule="auto"/>
        <w:ind w:left="720" w:hanging="360"/>
        <w:jc w:val="both"/>
        <w:rPr>
          <w:rFonts w:ascii="Times New Roman" w:cs="Times New Roman" w:eastAsia="Times New Roman" w:hAnsi="Times New Roman"/>
          <w:b w:val="1"/>
          <w:bCs w:val="1"/>
          <w:sz w:val="24"/>
          <w:szCs w:val="24"/>
        </w:rPr>
      </w:pPr>
      <w:bookmarkStart w:colFirst="0" w:colLast="0" w:name="_heading=h.vn3scpmtzg08" w:id="10"/>
      <w:bookmarkEnd w:id="10"/>
      <w:r w:rsidDel="00000000" w:rsidR="00000000" w:rsidRPr="00000000">
        <w:rPr>
          <w:rFonts w:ascii="Times New Roman" w:cs="Times New Roman" w:eastAsia="Times New Roman" w:hAnsi="Times New Roman"/>
          <w:b w:val="1"/>
          <w:bCs w:val="1"/>
          <w:color w:val="000000"/>
          <w:sz w:val="24"/>
          <w:szCs w:val="24"/>
          <w:rtl w:val="0"/>
        </w:rPr>
        <w:t xml:space="preserve">RIESGOS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2"/>
        <w:tblpPr w:leftFromText="180" w:rightFromText="180" w:topFromText="180" w:bottomFromText="180" w:vertAnchor="text" w:horzAnchor="text" w:tblpX="774.0000000000003" w:tblpY="0"/>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115"/>
        <w:gridCol w:w="2115"/>
        <w:gridCol w:w="2115"/>
        <w:tblGridChange w:id="0">
          <w:tblGrid>
            <w:gridCol w:w="2115"/>
            <w:gridCol w:w="2115"/>
            <w:gridCol w:w="2115"/>
            <w:gridCol w:w="2115"/>
          </w:tblGrid>
        </w:tblGridChange>
      </w:tblGrid>
      <w:tr>
        <w:trPr>
          <w:cantSplit w:val="0"/>
          <w:tblHeader w:val="0"/>
        </w:trPr>
        <w:tc>
          <w:tcPr>
            <w:shd w:fill="efefef" w:val="clear"/>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shd w:fill="efefef" w:val="clear"/>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identificado</w:t>
            </w:r>
          </w:p>
        </w:tc>
        <w:tc>
          <w:tcPr>
            <w:shd w:fill="efefef" w:val="clear"/>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Impacto/Descripción</w:t>
            </w:r>
          </w:p>
        </w:tc>
        <w:tc>
          <w:tcPr>
            <w:shd w:fill="efefef" w:val="clear"/>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 Propuesta</w:t>
            </w:r>
          </w:p>
        </w:tc>
      </w:tr>
      <w:tr>
        <w:trPr>
          <w:cantSplit w:val="0"/>
          <w:tblHeader w:val="0"/>
        </w:trPr>
        <w:tc>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Resistencia al cambio y curva de aprendizaje</w:t>
            </w:r>
          </w:p>
        </w:tc>
        <w:tc>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administrativo habituado a flujos tradicionales por correo, podría demorar en adoptar el panel de administración</w:t>
            </w:r>
          </w:p>
        </w:tc>
        <w:tc>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Provisión de manuales de usuario y sesiones guiadas de capacitación técnica pre-despliegue</w:t>
            </w:r>
          </w:p>
        </w:tc>
      </w:tr>
      <w:tr>
        <w:trPr>
          <w:cantSplit w:val="0"/>
          <w:tblHeader w:val="0"/>
        </w:trPr>
        <w:tc>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Cuellos de botella en traducciones técnicas</w:t>
            </w:r>
          </w:p>
        </w:tc>
        <w:tc>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el cronograma debido a la demora en la obtención de descripciones precisas del catálogo en inglés y portugués</w:t>
            </w:r>
          </w:p>
        </w:tc>
        <w:tc>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inicial del catálogo en español y habilitación incremental de los módulos de idioma conforme se validen las traducciones</w:t>
            </w:r>
          </w:p>
        </w:tc>
      </w:tr>
      <w:tr>
        <w:trPr>
          <w:cantSplit w:val="0"/>
          <w:tblHeader w:val="0"/>
        </w:trPr>
        <w:tc>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Vulnerabilidad por fuerza bruta en el endpoint de tracking</w:t>
            </w:r>
          </w:p>
        </w:tc>
        <w:tc>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Intentos automatizados de consultas de códigos externos para exponer información confidencial de los envíos</w:t>
            </w:r>
          </w:p>
        </w:tc>
        <w:tc>
          <w:tcPr/>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políticas estrictas de rate limiting y restricción de peticiones sospechosas en el backend</w:t>
            </w:r>
          </w:p>
        </w:tc>
      </w:tr>
      <w:tr>
        <w:trPr>
          <w:cantSplit w:val="0"/>
          <w:tblHeader w:val="0"/>
        </w:trPr>
        <w:tc>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en la configuración manual de variables de exportación</w:t>
            </w:r>
          </w:p>
        </w:tc>
        <w:tc>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Inconsistencias en precios por contenedor o divisas que confundan al comprador internacional</w:t>
            </w:r>
          </w:p>
        </w:tc>
        <w:tc>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campos a nivel de interfaz de usuario antes de confirmar registros en la base de datos</w:t>
            </w:r>
          </w:p>
        </w:tc>
      </w:tr>
    </w:tbl>
    <w:p w:rsidR="00000000" w:rsidDel="00000000" w:rsidP="00000000" w:rsidRDefault="00000000" w:rsidRPr="00000000" w14:paraId="00000085">
      <w:pPr>
        <w:rPr>
          <w:rFonts w:ascii="Times New Roman" w:cs="Times New Roman" w:eastAsia="Times New Roman" w:hAnsi="Times New Roman"/>
          <w:color w:val="0f1115"/>
          <w:sz w:val="24"/>
          <w:szCs w:val="24"/>
          <w:highlight w:val="white"/>
        </w:rPr>
      </w:pPr>
      <w:r w:rsidDel="00000000" w:rsidR="00000000" w:rsidRPr="00000000">
        <w:rPr>
          <w:rtl w:val="0"/>
        </w:rPr>
        <w:tab/>
      </w:r>
      <w:r w:rsidDel="00000000" w:rsidR="00000000" w:rsidRPr="00000000">
        <w:rPr>
          <w:rtl w:val="0"/>
        </w:rPr>
      </w:r>
    </w:p>
    <w:p w:rsidR="00000000" w:rsidDel="00000000" w:rsidP="00000000" w:rsidRDefault="00000000" w:rsidRPr="00000000" w14:paraId="00000086">
      <w:pPr>
        <w:pStyle w:val="Heading1"/>
        <w:numPr>
          <w:ilvl w:val="0"/>
          <w:numId w:val="7"/>
        </w:numPr>
        <w:spacing w:after="0" w:line="360" w:lineRule="auto"/>
        <w:ind w:left="720" w:hanging="360"/>
        <w:jc w:val="both"/>
        <w:rPr>
          <w:rFonts w:ascii="Times New Roman" w:cs="Times New Roman" w:eastAsia="Times New Roman" w:hAnsi="Times New Roman"/>
          <w:b w:val="1"/>
          <w:bCs w:val="1"/>
          <w:sz w:val="24"/>
          <w:szCs w:val="24"/>
        </w:rPr>
      </w:pPr>
      <w:bookmarkStart w:colFirst="0" w:colLast="0" w:name="_heading=h.jtzy1qrkmhbu" w:id="11"/>
      <w:bookmarkEnd w:id="11"/>
      <w:r w:rsidDel="00000000" w:rsidR="00000000" w:rsidRPr="00000000">
        <w:rPr>
          <w:rFonts w:ascii="Times New Roman" w:cs="Times New Roman" w:eastAsia="Times New Roman" w:hAnsi="Times New Roman"/>
          <w:b w:val="1"/>
          <w:bCs w:val="1"/>
          <w:color w:val="000000"/>
          <w:sz w:val="24"/>
          <w:szCs w:val="24"/>
          <w:rtl w:val="0"/>
        </w:rPr>
        <w:t xml:space="preserve">ANÁLISIS DE LA SITUACIÓN ACTUAL</w:t>
      </w:r>
      <w:r w:rsidDel="00000000" w:rsidR="00000000" w:rsidRPr="00000000">
        <w:rPr>
          <w:rtl w:val="0"/>
        </w:rPr>
      </w:r>
    </w:p>
    <w:p w:rsidR="00000000" w:rsidDel="00000000" w:rsidP="00000000" w:rsidRDefault="00000000" w:rsidRPr="00000000" w14:paraId="00000087">
      <w:pPr>
        <w:pStyle w:val="Heading2"/>
        <w:numPr>
          <w:ilvl w:val="1"/>
          <w:numId w:val="7"/>
        </w:numPr>
        <w:spacing w:after="240" w:before="0" w:line="360" w:lineRule="auto"/>
        <w:ind w:left="1440" w:hanging="360"/>
        <w:jc w:val="both"/>
        <w:rPr>
          <w:rFonts w:ascii="Times New Roman" w:cs="Times New Roman" w:eastAsia="Times New Roman" w:hAnsi="Times New Roman"/>
          <w:b w:val="1"/>
          <w:bCs w:val="1"/>
          <w:sz w:val="24"/>
          <w:szCs w:val="24"/>
        </w:rPr>
      </w:pPr>
      <w:bookmarkStart w:colFirst="0" w:colLast="0" w:name="_heading=h.4ljqyq3ayesy" w:id="12"/>
      <w:bookmarkEnd w:id="12"/>
      <w:r w:rsidDel="00000000" w:rsidR="00000000" w:rsidRPr="00000000">
        <w:rPr>
          <w:rFonts w:ascii="Times New Roman" w:cs="Times New Roman" w:eastAsia="Times New Roman" w:hAnsi="Times New Roman"/>
          <w:sz w:val="24"/>
          <w:szCs w:val="24"/>
          <w:rtl w:val="0"/>
        </w:rPr>
        <w:t xml:space="preserve">PLANTEAMIENTO DEL PROBLEMA</w:t>
      </w:r>
      <w:r w:rsidDel="00000000" w:rsidR="00000000" w:rsidRPr="00000000">
        <w:rPr>
          <w:rtl w:val="0"/>
        </w:rPr>
      </w:r>
    </w:p>
    <w:p w:rsidR="00000000" w:rsidDel="00000000" w:rsidP="00000000" w:rsidRDefault="00000000" w:rsidRPr="00000000" w14:paraId="00000088">
      <w:pPr>
        <w:shd w:fill="ffffff" w:val="clear"/>
        <w:spacing w:after="240" w:line="360" w:lineRule="auto"/>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Nodiex del Perú S.A.C. enfrenta dos problemáticas críticas e interrelacionadas que limitan su crecimiento en el mercado agroexportador internacional: una presencia web incompleta y obsoleta que no refleja la capacidad exportadora de la empresa, y una deficiente trazabilidad logística que genera desconfianza y pérdida de clientes internacionales B2B.</w:t>
      </w:r>
    </w:p>
    <w:p w:rsidR="00000000" w:rsidDel="00000000" w:rsidP="00000000" w:rsidRDefault="00000000" w:rsidRPr="00000000" w14:paraId="00000089">
      <w:pPr>
        <w:shd w:fill="ffffff" w:val="clear"/>
        <w:spacing w:after="240" w:line="360" w:lineRule="auto"/>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En primer lugar, el sitio web actual de la empresa, desarrollado sobre archivos PHP estáticos, presenta una infraestructura incompleta que no satisface las exigencias del comprador internacional moderno: carece de catálogo de productos con precios por contenedor en divisas internacionales (USD, EUR), no publica las certificaciones oficiales de calidad (SENASA, BRC, ISO, BASC) y no cuenta con contenido en inglés ni portugués. Esta limitación impide directamente que NODIEX capte nuevos clientes B2B en mercados de habla inglesa y portuguesa, posicionándose en desventaja frente a competidores globales con presencias digitales consolidadas.</w:t>
      </w:r>
    </w:p>
    <w:p w:rsidR="00000000" w:rsidDel="00000000" w:rsidP="00000000" w:rsidRDefault="00000000" w:rsidRPr="00000000" w14:paraId="0000008A">
      <w:pPr>
        <w:shd w:fill="ffffff" w:val="clear"/>
        <w:spacing w:after="240" w:line="360" w:lineRule="auto"/>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En segundo lugar, el seguimiento de los cargamentos se gestiona de forma completamente reactiva a través de llamadas telefónicas, mensajes y correos electrónicos dispersos, lo que satura al personal administrativo y resta transparencia al comprador extranjero. Según registros documentados de la empresa, el tiempo promedio invertido en responder una consulta de estado de contenedor asciende a 45 minutos por interacción, costo operativo que se multiplica con cada despacho activo. Esta situación ha generado quejas formales registradas por parte de clientes internacionales, derivando en pérdida de confianza y abandono de relaciones comerciales. </w:t>
      </w:r>
    </w:p>
    <w:p w:rsidR="00000000" w:rsidDel="00000000" w:rsidP="00000000" w:rsidRDefault="00000000" w:rsidRPr="00000000" w14:paraId="0000008B">
      <w:pPr>
        <w:shd w:fill="ffffff" w:val="clear"/>
        <w:spacing w:after="240" w:line="360" w:lineRule="auto"/>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Sin una plataforma que centralice y automatice el tracking logístico, el negocio experimenta costos operativos innecesariamente altos y un riesgo creciente en su sostenibilidad comercial a largo plazo.</w:t>
      </w:r>
    </w:p>
    <w:p w:rsidR="00000000" w:rsidDel="00000000" w:rsidP="00000000" w:rsidRDefault="00000000" w:rsidRPr="00000000" w14:paraId="0000008C">
      <w:pPr>
        <w:pStyle w:val="Heading2"/>
        <w:numPr>
          <w:ilvl w:val="1"/>
          <w:numId w:val="7"/>
        </w:numPr>
        <w:spacing w:after="240" w:before="240" w:line="360" w:lineRule="auto"/>
        <w:ind w:left="1440" w:hanging="360"/>
        <w:jc w:val="both"/>
        <w:rPr>
          <w:rFonts w:ascii="Times New Roman" w:cs="Times New Roman" w:eastAsia="Times New Roman" w:hAnsi="Times New Roman"/>
          <w:b w:val="1"/>
          <w:bCs w:val="1"/>
          <w:sz w:val="24"/>
          <w:szCs w:val="24"/>
        </w:rPr>
      </w:pPr>
      <w:bookmarkStart w:colFirst="0" w:colLast="0" w:name="_heading=h.u19ai9yvvc3e" w:id="13"/>
      <w:bookmarkEnd w:id="13"/>
      <w:r w:rsidDel="00000000" w:rsidR="00000000" w:rsidRPr="00000000">
        <w:rPr>
          <w:rFonts w:ascii="Times New Roman" w:cs="Times New Roman" w:eastAsia="Times New Roman" w:hAnsi="Times New Roman"/>
          <w:sz w:val="24"/>
          <w:szCs w:val="24"/>
          <w:rtl w:val="0"/>
        </w:rPr>
        <w:t xml:space="preserve">CONSIDERACIONES DE HARDWARE Y SOFTWARE</w:t>
      </w:r>
      <w:r w:rsidDel="00000000" w:rsidR="00000000" w:rsidRPr="00000000">
        <w:rPr>
          <w:rtl w:val="0"/>
        </w:rPr>
      </w:r>
    </w:p>
    <w:p w:rsidR="00000000" w:rsidDel="00000000" w:rsidP="00000000" w:rsidRDefault="00000000" w:rsidRPr="00000000" w14:paraId="0000008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solucionar las problemáticas descritas y garantizar un despliegue ágil orientado a la exportación, el proyecto adoptará un enfoque Cloud-Native (nativo en la nube). Esto elimina la necesidad de adquirir o mantener servidores físicos en las instalaciones de la empresa.</w:t>
      </w:r>
    </w:p>
    <w:p w:rsidR="00000000" w:rsidDel="00000000" w:rsidP="00000000" w:rsidRDefault="00000000" w:rsidRPr="00000000" w14:paraId="0000008E">
      <w:pPr>
        <w:numPr>
          <w:ilvl w:val="0"/>
          <w:numId w:val="6"/>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w:t>
      </w:r>
    </w:p>
    <w:tbl>
      <w:tblPr>
        <w:tblStyle w:val="Table3"/>
        <w:tblW w:w="6285.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70"/>
        <w:gridCol w:w="2625"/>
        <w:tblGridChange w:id="0">
          <w:tblGrid>
            <w:gridCol w:w="1590"/>
            <w:gridCol w:w="2070"/>
            <w:gridCol w:w="26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 recomendada</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Base de Datos (Cloud)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Alojamiento del esquema relacional y datos de pedidos B2B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2–4 vCores, 4–8 GB RAM, 80–120 GB SSD (Gestionado por proveedor Cloud)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Despliegue (Edge)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del frontend web y ejecución de API Serverless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CDN Global (Vercel Edge Network) para baja latencia internacional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Dispositivos Cliente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la plataforma administrativa y al portal de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Tablet o PC estándar </w:t>
            </w:r>
          </w:p>
        </w:tc>
      </w:tr>
    </w:tbl>
    <w:p w:rsidR="00000000" w:rsidDel="00000000" w:rsidP="00000000" w:rsidRDefault="00000000" w:rsidRPr="00000000" w14:paraId="0000009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6"/>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requerido</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bl>
      <w:tblPr>
        <w:tblStyle w:val="Table4"/>
        <w:tblW w:w="6285.0" w:type="dxa"/>
        <w:jc w:val="left"/>
        <w:tblInd w:w="2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60"/>
        <w:gridCol w:w="2520"/>
        <w:tblGridChange w:id="0">
          <w:tblGrid>
            <w:gridCol w:w="1605"/>
            <w:gridCol w:w="2160"/>
            <w:gridCol w:w="25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 o Tecnología</w:t>
            </w:r>
            <w:r w:rsidDel="00000000" w:rsidR="00000000" w:rsidRPr="00000000">
              <w:rPr>
                <w:rtl w:val="0"/>
              </w:rPr>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w:t>
            </w:r>
            <w:r w:rsidDel="00000000" w:rsidR="00000000" w:rsidRPr="00000000">
              <w:rPr>
                <w:rtl w:val="0"/>
              </w:rPr>
            </w:r>
          </w:p>
        </w:tc>
      </w:tr>
      <w:tr>
        <w:trPr>
          <w:cantSplit w:val="0"/>
          <w:trHeight w:val="1098.474121093749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Servidor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(Alpine / Ubuntu en Cloud) </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base para contenedores de producción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20+ LTS / Next.js Route Handlers </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negocio comercial y endpoints de la API REST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18 / Next.js 14+ </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 responsiva, dinámica y multi idioma.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15+ </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información relacional (Catálogo, Precios, Pedidos)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 Infraestructura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escalable y automatizado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colaborativo de desarrollo de software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SSL/TLS, cifrado y autenticación JWT</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 y control de accesos al panel administrativo </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adicionales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Nodemailer / Resend </w:t>
            </w:r>
          </w:p>
        </w:tc>
        <w:tc>
          <w:tcPr>
            <w:tcBorders>
              <w:top w:color="000000" w:space="0" w:sz="6" w:val="single"/>
              <w:left w:color="000000" w:space="0" w:sz="6" w:val="single"/>
              <w:bottom w:color="000000" w:space="0" w:sz="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Envío de correos automáticos (notificaciones de tracking B2B) </w:t>
            </w:r>
          </w:p>
        </w:tc>
      </w:tr>
    </w:tbl>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herramientas permitirán asegurar soporte a gran volumen de usuarios, escalabilidad, seguridad y continuidad operativa, elementos fundamentales para la sostenibilidad tecnológica del proyecto.</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1"/>
        <w:numPr>
          <w:ilvl w:val="0"/>
          <w:numId w:val="7"/>
        </w:numPr>
        <w:spacing w:line="360" w:lineRule="auto"/>
        <w:ind w:left="720" w:hanging="360"/>
        <w:jc w:val="both"/>
        <w:rPr>
          <w:rFonts w:ascii="Times New Roman" w:cs="Times New Roman" w:eastAsia="Times New Roman" w:hAnsi="Times New Roman"/>
          <w:b w:val="1"/>
          <w:bCs w:val="1"/>
          <w:sz w:val="24"/>
          <w:szCs w:val="24"/>
        </w:rPr>
      </w:pPr>
      <w:bookmarkStart w:colFirst="0" w:colLast="0" w:name="_heading=h.irty6dz3i75i" w:id="14"/>
      <w:bookmarkEnd w:id="14"/>
      <w:r w:rsidDel="00000000" w:rsidR="00000000" w:rsidRPr="00000000">
        <w:rPr>
          <w:rFonts w:ascii="Times New Roman" w:cs="Times New Roman" w:eastAsia="Times New Roman" w:hAnsi="Times New Roman"/>
          <w:b w:val="1"/>
          <w:bCs w:val="1"/>
          <w:color w:val="000000"/>
          <w:sz w:val="24"/>
          <w:szCs w:val="24"/>
          <w:rtl w:val="0"/>
        </w:rPr>
        <w:t xml:space="preserve">ESTUDIO DE FACTIBILIDAD</w:t>
      </w:r>
      <w:r w:rsidDel="00000000" w:rsidR="00000000" w:rsidRPr="00000000">
        <w:rPr>
          <w:rtl w:val="0"/>
        </w:rPr>
      </w:r>
    </w:p>
    <w:p w:rsidR="00000000" w:rsidDel="00000000" w:rsidP="00000000" w:rsidRDefault="00000000" w:rsidRPr="00000000" w14:paraId="000000B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2"/>
        <w:numPr>
          <w:ilvl w:val="1"/>
          <w:numId w:val="7"/>
        </w:numPr>
        <w:spacing w:after="240" w:before="240" w:line="360" w:lineRule="auto"/>
        <w:ind w:left="1440" w:hanging="360"/>
        <w:jc w:val="both"/>
        <w:rPr>
          <w:rFonts w:ascii="Times New Roman" w:cs="Times New Roman" w:eastAsia="Times New Roman" w:hAnsi="Times New Roman"/>
          <w:b w:val="1"/>
          <w:bCs w:val="1"/>
          <w:sz w:val="24"/>
          <w:szCs w:val="24"/>
        </w:rPr>
      </w:pPr>
      <w:bookmarkStart w:colFirst="0" w:colLast="0" w:name="_heading=h.mqz4rz5yrd7a" w:id="15"/>
      <w:bookmarkEnd w:id="15"/>
      <w:r w:rsidDel="00000000" w:rsidR="00000000" w:rsidRPr="00000000">
        <w:rPr>
          <w:rFonts w:ascii="Times New Roman" w:cs="Times New Roman" w:eastAsia="Times New Roman" w:hAnsi="Times New Roman"/>
          <w:sz w:val="24"/>
          <w:szCs w:val="24"/>
          <w:rtl w:val="0"/>
        </w:rPr>
        <w:t xml:space="preserve">FACTIBILIDAD TÉCNICA</w:t>
      </w:r>
      <w:r w:rsidDel="00000000" w:rsidR="00000000" w:rsidRPr="00000000">
        <w:rPr>
          <w:rtl w:val="0"/>
        </w:rPr>
      </w:r>
    </w:p>
    <w:p w:rsidR="00000000" w:rsidDel="00000000" w:rsidP="00000000" w:rsidRDefault="00000000" w:rsidRPr="00000000" w14:paraId="000000BF">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sí es técnicamente factible. El equipo de desarrollo cuenta con las competencias necesarias y el stack propuesto (Next.js y PostgreSQL) utiliza estándares ampliamente documentados de libre distribución.</w:t>
      </w:r>
    </w:p>
    <w:p w:rsidR="00000000" w:rsidDel="00000000" w:rsidP="00000000" w:rsidRDefault="00000000" w:rsidRPr="00000000" w14:paraId="000000C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 lado de la organización, la empresa NODIEX DEL PERÚ S.A.C. dispone del equipamiento físico necesario (laptops de oficina y conectividad estable a internet) para que el personal ejecute la plataforma administrativa y controle el sistema sin inconvenientes operativos. </w:t>
      </w:r>
    </w:p>
    <w:p w:rsidR="00000000" w:rsidDel="00000000" w:rsidP="00000000" w:rsidRDefault="00000000" w:rsidRPr="00000000" w14:paraId="000000C1">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 la infraestructura de red y alojamiento, la gerencia de la empresa ha manifestado formalmente la disponibilidad presupuestaria requerida para financiar anualmente la contratación de servicios de servidores VPS y dominios en la nube indispensables para mantener la continuidad, escalabilidad y despliegue del software en producción. Esto descarta la necesidad de adquisición o mantenimiento de infraestructuras de servidores locales complejos dentro de la planta.</w:t>
      </w:r>
    </w:p>
    <w:p w:rsidR="00000000" w:rsidDel="00000000" w:rsidP="00000000" w:rsidRDefault="00000000" w:rsidRPr="00000000" w14:paraId="000000C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numPr>
          <w:ilvl w:val="1"/>
          <w:numId w:val="7"/>
        </w:numPr>
        <w:spacing w:after="240" w:before="240" w:line="360" w:lineRule="auto"/>
        <w:ind w:left="1440" w:hanging="360"/>
        <w:jc w:val="both"/>
        <w:rPr>
          <w:rFonts w:ascii="Times New Roman" w:cs="Times New Roman" w:eastAsia="Times New Roman" w:hAnsi="Times New Roman"/>
          <w:b w:val="1"/>
          <w:bCs w:val="1"/>
          <w:sz w:val="24"/>
          <w:szCs w:val="24"/>
        </w:rPr>
      </w:pPr>
      <w:bookmarkStart w:colFirst="0" w:colLast="0" w:name="_heading=h.eyjopdwcker5" w:id="16"/>
      <w:bookmarkEnd w:id="16"/>
      <w:r w:rsidDel="00000000" w:rsidR="00000000" w:rsidRPr="00000000">
        <w:rPr>
          <w:rFonts w:ascii="Times New Roman" w:cs="Times New Roman" w:eastAsia="Times New Roman" w:hAnsi="Times New Roman"/>
          <w:sz w:val="24"/>
          <w:szCs w:val="24"/>
          <w:rtl w:val="0"/>
        </w:rPr>
        <w:t xml:space="preserve">FACTIBILIDAD ECONÓMICA</w:t>
      </w:r>
      <w:r w:rsidDel="00000000" w:rsidR="00000000" w:rsidRPr="00000000">
        <w:rPr>
          <w:rtl w:val="0"/>
        </w:rPr>
      </w:r>
    </w:p>
    <w:p w:rsidR="00000000" w:rsidDel="00000000" w:rsidP="00000000" w:rsidRDefault="00000000" w:rsidRPr="00000000" w14:paraId="000000C4">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estudio es determinar si los beneficios económicos generados por la implementación del sistema web superan los costos totales asociados a su diseño, construcción y despliegue. El análisis demuestra que la institución no requiere invertir en infraestructura física local (servidores), centrando el presupuesto en el talento humano y el aprovisionamiento de servicios en la nube. </w:t>
      </w:r>
    </w:p>
    <w:p w:rsidR="00000000" w:rsidDel="00000000" w:rsidP="00000000" w:rsidRDefault="00000000" w:rsidRPr="00000000" w14:paraId="000000C5">
      <w:pPr>
        <w:numPr>
          <w:ilvl w:val="0"/>
          <w:numId w:val="8"/>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GENERALES</w:t>
      </w:r>
      <w:r w:rsidDel="00000000" w:rsidR="00000000" w:rsidRPr="00000000">
        <w:rPr>
          <w:rtl w:val="0"/>
        </w:rPr>
      </w:r>
    </w:p>
    <w:tbl>
      <w:tblPr>
        <w:tblStyle w:val="Table5"/>
        <w:tblpPr w:leftFromText="180" w:rightFromText="180" w:topFromText="180" w:bottomFromText="180" w:vertAnchor="text" w:horzAnchor="text" w:tblpX="1434.0000000000005" w:tblpY="0"/>
        <w:tblW w:w="6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350"/>
        <w:gridCol w:w="2265"/>
        <w:gridCol w:w="1560"/>
        <w:tblGridChange w:id="0">
          <w:tblGrid>
            <w:gridCol w:w="1800"/>
            <w:gridCol w:w="1350"/>
            <w:gridCol w:w="2265"/>
            <w:gridCol w:w="1560"/>
          </w:tblGrid>
        </w:tblGridChange>
      </w:tblGrid>
      <w:tr>
        <w:trPr>
          <w:cantSplit w:val="0"/>
          <w:trHeight w:val="941.9531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 Recurso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Total</w:t>
            </w:r>
          </w:p>
        </w:tc>
      </w:tr>
      <w:tr>
        <w:trPr>
          <w:cantSplit w:val="0"/>
          <w:trHeight w:val="1614.4921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Conectividad (Internet de alta velocidad)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200.00</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Útiles de oficina, papelería y materiales de escritorio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energía eléctrica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S/100.00</w:t>
            </w:r>
          </w:p>
        </w:tc>
      </w:tr>
      <w:tr>
        <w:trPr>
          <w:cantSplit w:val="0"/>
          <w:trHeight w:val="562.119140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COSTOS GENERALES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S/350.00</w:t>
            </w:r>
          </w:p>
        </w:tc>
      </w:tr>
    </w:tbl>
    <w:p w:rsidR="00000000" w:rsidDel="00000000" w:rsidP="00000000" w:rsidRDefault="00000000" w:rsidRPr="00000000" w14:paraId="000000DA">
      <w:pPr>
        <w:numPr>
          <w:ilvl w:val="0"/>
          <w:numId w:val="8"/>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OPERATIVOS DURANTE EL DESARROLLO</w:t>
      </w:r>
      <w:r w:rsidDel="00000000" w:rsidR="00000000" w:rsidRPr="00000000">
        <w:rPr>
          <w:rtl w:val="0"/>
        </w:rPr>
      </w:r>
    </w:p>
    <w:tbl>
      <w:tblPr>
        <w:tblStyle w:val="Table6"/>
        <w:tblpPr w:leftFromText="180" w:rightFromText="180" w:topFromText="180" w:bottomFromText="180" w:vertAnchor="text" w:horzAnchor="text" w:tblpX="1434.0000000000005" w:tblpY="0"/>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25"/>
        <w:gridCol w:w="1875"/>
        <w:gridCol w:w="1560"/>
        <w:tblGridChange w:id="0">
          <w:tblGrid>
            <w:gridCol w:w="2205"/>
            <w:gridCol w:w="1725"/>
            <w:gridCol w:w="1875"/>
            <w:gridCol w:w="15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rHeight w:val="1023.030063291139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logística y transporte local para reuniones presenciales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r>
      <w:tr>
        <w:trPr>
          <w:cantSplit w:val="0"/>
          <w:trHeight w:val="1056.4556962025317"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de entornos de desarrollo integrados (IDEs Open-Source)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Única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r>
      <w:tr>
        <w:trPr>
          <w:cantSplit w:val="0"/>
          <w:trHeight w:val="846.259889240506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COSTOS OPERATIVOS DE DESARROLLO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r>
    </w:tbl>
    <w:p w:rsidR="00000000" w:rsidDel="00000000" w:rsidP="00000000" w:rsidRDefault="00000000" w:rsidRPr="00000000" w14:paraId="000000EB">
      <w:pPr>
        <w:numPr>
          <w:ilvl w:val="0"/>
          <w:numId w:val="8"/>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DEL AMBIENTE</w:t>
      </w:r>
      <w:r w:rsidDel="00000000" w:rsidR="00000000" w:rsidRPr="00000000">
        <w:rPr>
          <w:rtl w:val="0"/>
        </w:rPr>
      </w:r>
    </w:p>
    <w:tbl>
      <w:tblPr>
        <w:tblStyle w:val="Table7"/>
        <w:tblpPr w:leftFromText="180" w:rightFromText="180" w:topFromText="180" w:bottomFromText="180" w:vertAnchor="text" w:horzAnchor="text" w:tblpX="1374.0000000000005" w:tblpY="0"/>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75"/>
        <w:gridCol w:w="2400"/>
        <w:gridCol w:w="1785"/>
        <w:tblGridChange w:id="0">
          <w:tblGrid>
            <w:gridCol w:w="1905"/>
            <w:gridCol w:w="1575"/>
            <w:gridCol w:w="2400"/>
            <w:gridCol w:w="178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 / Servicio</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Proveedor</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 Cloud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AWS/Vercel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de entornos integrados y pipelines automáticos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350.00</w:t>
            </w:r>
          </w:p>
        </w:tc>
      </w:tr>
      <w:tr>
        <w:trPr>
          <w:cantSplit w:val="0"/>
          <w:trHeight w:val="1207.119140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COSTOS DEL AMBIENTE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350.00</w:t>
            </w:r>
          </w:p>
        </w:tc>
      </w:tr>
    </w:tbl>
    <w:p w:rsidR="00000000" w:rsidDel="00000000" w:rsidP="00000000" w:rsidRDefault="00000000" w:rsidRPr="00000000" w14:paraId="000000F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numPr>
          <w:ilvl w:val="0"/>
          <w:numId w:val="8"/>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DE PERSONAL</w:t>
      </w:r>
      <w:r w:rsidDel="00000000" w:rsidR="00000000" w:rsidRPr="00000000">
        <w:rPr>
          <w:rtl w:val="0"/>
        </w:rPr>
      </w:r>
    </w:p>
    <w:tbl>
      <w:tblPr>
        <w:tblStyle w:val="Table8"/>
        <w:tblpPr w:leftFromText="180" w:rightFromText="180" w:topFromText="180" w:bottomFromText="180" w:vertAnchor="text" w:horzAnchor="text" w:tblpX="1440" w:tblpY="0"/>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220"/>
        <w:gridCol w:w="2145"/>
        <w:gridCol w:w="1590"/>
        <w:tblGridChange w:id="0">
          <w:tblGrid>
            <w:gridCol w:w="1770"/>
            <w:gridCol w:w="2220"/>
            <w:gridCol w:w="2145"/>
            <w:gridCol w:w="159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1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1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Asignación Mensual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Pago Total Proyecto (S/)</w:t>
            </w:r>
          </w:p>
        </w:tc>
      </w:tr>
      <w:tr>
        <w:trPr>
          <w:cantSplit w:val="0"/>
          <w:trHeight w:val="1029.85714285714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Full-Stack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 Alejandro Carbajal Vargas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2,500.00</w:t>
            </w:r>
          </w:p>
        </w:tc>
      </w:tr>
      <w:tr>
        <w:trPr>
          <w:cantSplit w:val="0"/>
          <w:trHeight w:val="1029.85714285714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Desarrolladora Frontend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Kiara Holly Zapana Murillo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2,500.00</w:t>
            </w:r>
          </w:p>
        </w:tc>
      </w:tr>
      <w:tr>
        <w:trPr>
          <w:cantSplit w:val="0"/>
          <w:trHeight w:val="1029.85714285714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Backend / QA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Vincenzo Rafael Llanos Niño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2,500.00</w:t>
            </w:r>
          </w:p>
        </w:tc>
      </w:tr>
      <w:tr>
        <w:trPr>
          <w:cantSplit w:val="0"/>
          <w:trHeight w:val="1029.857142857143"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Especialista en BD y Documentación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Fátima Sofía Yupa Gómez</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1,250.00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2,500.00</w:t>
            </w:r>
          </w:p>
        </w:tc>
      </w:tr>
      <w:tr>
        <w:trPr>
          <w:cantSplit w:val="0"/>
          <w:trHeight w:val="925.7142857142858"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COSTO DE PERSONAL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10,000.00</w:t>
            </w:r>
          </w:p>
        </w:tc>
      </w:tr>
    </w:tbl>
    <w:p w:rsidR="00000000" w:rsidDel="00000000" w:rsidP="00000000" w:rsidRDefault="00000000" w:rsidRPr="00000000" w14:paraId="0000011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8"/>
        </w:numPr>
        <w:spacing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TOTALES DEL DESARROLLO DEL SISTEMA</w:t>
      </w:r>
      <w:r w:rsidDel="00000000" w:rsidR="00000000" w:rsidRPr="00000000">
        <w:rPr>
          <w:rtl w:val="0"/>
        </w:rPr>
      </w:r>
    </w:p>
    <w:p w:rsidR="00000000" w:rsidDel="00000000" w:rsidP="00000000" w:rsidRDefault="00000000" w:rsidRPr="00000000" w14:paraId="0000011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consolida el presupuesto de inversión inicial del proyecto necesario para completar con éxito todas las actividades planificadas.</w:t>
      </w:r>
    </w:p>
    <w:tbl>
      <w:tblPr>
        <w:tblStyle w:val="Table9"/>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de Inversión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Monto Subtotal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 durante el Desarrollo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INVERSIÓN TOTAL DE DESARROLLO (AÑO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S/10,700.00</w:t>
            </w:r>
          </w:p>
        </w:tc>
      </w:tr>
    </w:tbl>
    <w:p w:rsidR="00000000" w:rsidDel="00000000" w:rsidP="00000000" w:rsidRDefault="00000000" w:rsidRPr="00000000" w14:paraId="0000012B">
      <w:pPr>
        <w:spacing w:after="0" w:before="12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pStyle w:val="Heading2"/>
        <w:numPr>
          <w:ilvl w:val="1"/>
          <w:numId w:val="7"/>
        </w:numPr>
        <w:spacing w:after="0" w:before="120" w:line="360" w:lineRule="auto"/>
        <w:ind w:left="1440" w:hanging="360"/>
        <w:jc w:val="both"/>
        <w:rPr/>
      </w:pPr>
      <w:bookmarkStart w:colFirst="0" w:colLast="0" w:name="_heading=h.zdl1mjjfk" w:id="17"/>
      <w:bookmarkEnd w:id="17"/>
      <w:r w:rsidDel="00000000" w:rsidR="00000000" w:rsidRPr="00000000">
        <w:rPr>
          <w:rtl w:val="0"/>
        </w:rPr>
        <w:t xml:space="preserve">FACTIBILIDAD OPERATIVA</w:t>
      </w:r>
    </w:p>
    <w:p w:rsidR="00000000" w:rsidDel="00000000" w:rsidP="00000000" w:rsidRDefault="00000000" w:rsidRPr="00000000" w14:paraId="0000012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operativa de la modernización de Nodiex es completamente viable. El sistema reemplaza de manera definitiva los procesos manuales y la edición directa sobre archivos PHP estáticos por un Panel de Administración intuitivo que no requiere conocimientos avanzados de programación.</w:t>
      </w:r>
    </w:p>
    <w:p w:rsidR="00000000" w:rsidDel="00000000" w:rsidP="00000000" w:rsidRDefault="00000000" w:rsidRPr="00000000" w14:paraId="0000012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Order Tracking se acopla de forma directa al flujo comercial actual de la empresa: una vez que el pedido internacional es negociado de forma externa, el administrador del sistema registra el envío en el panel, generando de forma automática el código de seguimiento cifrado para el cliente internacional. Con esto, el impacto en los usuarios finales (compradores extranjeros B2B) es sumamente positivo, pues reduce el tiempo promedio de consulta sobre el estado de su contenedor de 45 minutos de interacción por llamadas y correos dispersos, a una consulta instantánea de menos de 10 segundos en la web. La entrega de manuales técnicos de usuario y las sesiones de capacitación garantizan que el equipo administrativo adquiera autonomía operativa total desde el primer día de despliegue.</w:t>
      </w:r>
    </w:p>
    <w:p w:rsidR="00000000" w:rsidDel="00000000" w:rsidP="00000000" w:rsidRDefault="00000000" w:rsidRPr="00000000" w14:paraId="0000012F">
      <w:pPr>
        <w:keepNext w:val="0"/>
        <w:keepLines w:val="0"/>
        <w:spacing w:after="80" w:before="28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Interesados:</w:t>
      </w:r>
    </w:p>
    <w:p w:rsidR="00000000" w:rsidDel="00000000" w:rsidP="00000000" w:rsidRDefault="00000000" w:rsidRPr="00000000" w14:paraId="00000130">
      <w:pPr>
        <w:numPr>
          <w:ilvl w:val="0"/>
          <w:numId w:val="4"/>
        </w:numPr>
        <w:spacing w:after="0" w:before="24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Gerencia General (Nodiex del Perú S.A.C.):</w:t>
      </w:r>
      <w:r w:rsidDel="00000000" w:rsidR="00000000" w:rsidRPr="00000000">
        <w:rPr>
          <w:rFonts w:ascii="Times New Roman" w:cs="Times New Roman" w:eastAsia="Times New Roman" w:hAnsi="Times New Roman"/>
          <w:sz w:val="24"/>
          <w:szCs w:val="24"/>
          <w:rtl w:val="0"/>
        </w:rPr>
        <w:t xml:space="preserve"> Patrocinador principal, encargado de evaluar el retorno financiero y la expansión en mercados externos.</w:t>
      </w:r>
      <w:r w:rsidDel="00000000" w:rsidR="00000000" w:rsidRPr="00000000">
        <w:rPr>
          <w:rtl w:val="0"/>
        </w:rPr>
      </w:r>
    </w:p>
    <w:p w:rsidR="00000000" w:rsidDel="00000000" w:rsidP="00000000" w:rsidRDefault="00000000" w:rsidRPr="00000000" w14:paraId="00000131">
      <w:pPr>
        <w:numPr>
          <w:ilvl w:val="0"/>
          <w:numId w:val="4"/>
        </w:numPr>
        <w:spacing w:after="0" w:before="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Personal Administrativo / Comercial:</w:t>
      </w:r>
      <w:r w:rsidDel="00000000" w:rsidR="00000000" w:rsidRPr="00000000">
        <w:rPr>
          <w:rFonts w:ascii="Times New Roman" w:cs="Times New Roman" w:eastAsia="Times New Roman" w:hAnsi="Times New Roman"/>
          <w:sz w:val="24"/>
          <w:szCs w:val="24"/>
          <w:rtl w:val="0"/>
        </w:rPr>
        <w:t xml:space="preserve"> Usuarios directos del panel, responsables de actualizar el catálogo y alimentar el estado de la carga logística.</w:t>
      </w:r>
      <w:r w:rsidDel="00000000" w:rsidR="00000000" w:rsidRPr="00000000">
        <w:rPr>
          <w:rtl w:val="0"/>
        </w:rPr>
      </w:r>
    </w:p>
    <w:p w:rsidR="00000000" w:rsidDel="00000000" w:rsidP="00000000" w:rsidRDefault="00000000" w:rsidRPr="00000000" w14:paraId="00000132">
      <w:pPr>
        <w:numPr>
          <w:ilvl w:val="0"/>
          <w:numId w:val="4"/>
        </w:numPr>
        <w:spacing w:after="0" w:before="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Clientes B2B Internacionales:</w:t>
      </w:r>
      <w:r w:rsidDel="00000000" w:rsidR="00000000" w:rsidRPr="00000000">
        <w:rPr>
          <w:rFonts w:ascii="Times New Roman" w:cs="Times New Roman" w:eastAsia="Times New Roman" w:hAnsi="Times New Roman"/>
          <w:sz w:val="24"/>
          <w:szCs w:val="24"/>
          <w:rtl w:val="0"/>
        </w:rPr>
        <w:t xml:space="preserve"> Compradores finales ubicados en el extranjero que consumen el servicio automatizado de tracking logístico.</w:t>
      </w:r>
      <w:r w:rsidDel="00000000" w:rsidR="00000000" w:rsidRPr="00000000">
        <w:rPr>
          <w:rtl w:val="0"/>
        </w:rPr>
      </w:r>
    </w:p>
    <w:p w:rsidR="00000000" w:rsidDel="00000000" w:rsidP="00000000" w:rsidRDefault="00000000" w:rsidRPr="00000000" w14:paraId="00000133">
      <w:pPr>
        <w:numPr>
          <w:ilvl w:val="0"/>
          <w:numId w:val="4"/>
        </w:numPr>
        <w:spacing w:after="240" w:before="0"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Equipo Consultor / Desarrollador:</w:t>
      </w:r>
      <w:r w:rsidDel="00000000" w:rsidR="00000000" w:rsidRPr="00000000">
        <w:rPr>
          <w:rFonts w:ascii="Times New Roman" w:cs="Times New Roman" w:eastAsia="Times New Roman" w:hAnsi="Times New Roman"/>
          <w:sz w:val="24"/>
          <w:szCs w:val="24"/>
          <w:rtl w:val="0"/>
        </w:rPr>
        <w:t xml:space="preserve"> Estudiantes encargados del diseño, codificación e implementación de la solución tecnológica.</w:t>
      </w:r>
      <w:r w:rsidDel="00000000" w:rsidR="00000000" w:rsidRPr="00000000">
        <w:rPr>
          <w:rtl w:val="0"/>
        </w:rPr>
      </w:r>
    </w:p>
    <w:p w:rsidR="00000000" w:rsidDel="00000000" w:rsidP="00000000" w:rsidRDefault="00000000" w:rsidRPr="00000000" w14:paraId="0000013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numPr>
          <w:ilvl w:val="1"/>
          <w:numId w:val="7"/>
        </w:numPr>
        <w:spacing w:after="240" w:before="240" w:line="360" w:lineRule="auto"/>
        <w:ind w:left="1440" w:hanging="360"/>
        <w:jc w:val="both"/>
        <w:rPr>
          <w:rFonts w:ascii="Times New Roman" w:cs="Times New Roman" w:eastAsia="Times New Roman" w:hAnsi="Times New Roman"/>
          <w:b w:val="1"/>
          <w:bCs w:val="1"/>
          <w:sz w:val="24"/>
          <w:szCs w:val="24"/>
        </w:rPr>
      </w:pPr>
      <w:bookmarkStart w:colFirst="0" w:colLast="0" w:name="_heading=h.me168zj1vbej" w:id="18"/>
      <w:bookmarkEnd w:id="18"/>
      <w:r w:rsidDel="00000000" w:rsidR="00000000" w:rsidRPr="00000000">
        <w:rPr>
          <w:rFonts w:ascii="Times New Roman" w:cs="Times New Roman" w:eastAsia="Times New Roman" w:hAnsi="Times New Roman"/>
          <w:sz w:val="24"/>
          <w:szCs w:val="24"/>
          <w:rtl w:val="0"/>
        </w:rPr>
        <w:t xml:space="preserve">FACTIBILIDAD LEGAL</w:t>
      </w:r>
      <w:r w:rsidDel="00000000" w:rsidR="00000000" w:rsidRPr="00000000">
        <w:rPr>
          <w:rtl w:val="0"/>
        </w:rPr>
      </w:r>
    </w:p>
    <w:p w:rsidR="00000000" w:rsidDel="00000000" w:rsidP="00000000" w:rsidRDefault="00000000" w:rsidRPr="00000000" w14:paraId="00000136">
      <w:pPr>
        <w:spacing w:after="12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alinea estrictamente con el marco normativo peruano, respetando la Ley N.° 29733 (Ley de Protección de Datos Personales). El sistema garantiza que la información recolectada de los clientes B2B se realice bajo consentimiento expreso y se gestione de forma segura mediante JSON Web Tokens (JWT) y cifrado bcrypt para credenciales administrativas.</w:t>
      </w:r>
    </w:p>
    <w:p w:rsidR="00000000" w:rsidDel="00000000" w:rsidP="00000000" w:rsidRDefault="00000000" w:rsidRPr="00000000" w14:paraId="00000137">
      <w:pPr>
        <w:spacing w:after="12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una plataforma informativa y de seguimiento, el proyecto evita conflictos legales transaccionales complejos, cumpliendo con la transparencia informativa requerida para exportaciones nacionales e internacionales. </w:t>
      </w:r>
    </w:p>
    <w:p w:rsidR="00000000" w:rsidDel="00000000" w:rsidP="00000000" w:rsidRDefault="00000000" w:rsidRPr="00000000" w14:paraId="00000138">
      <w:pPr>
        <w:spacing w:after="12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titularidad del sistema, el equipo desarrollador conservará la propiedad intelectual y los derechos patrimoniales sobre el código fuente del software. Para su operación, se otorgará a la empresa Nodiex del Peru S.A.C. una licencia de uso corporativa, la cual le permitirá utilizar la plataforma para sus fines comerciales. Por su parte, la propiedad de las bases de datos, información de clientes, activos digitales y el catálogo de productos se mantendrá bajo el control total y exclusivo de Nodiex del Peru S.A.C. </w:t>
      </w:r>
    </w:p>
    <w:p w:rsidR="00000000" w:rsidDel="00000000" w:rsidP="00000000" w:rsidRDefault="00000000" w:rsidRPr="00000000" w14:paraId="00000139">
      <w:pPr>
        <w:spacing w:after="12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establecerá un acuerdo comercial donde el equipo desarrollador brindará a la empresa un servicio de mantenimiento preventivo y correctivo con periodicidad anual, garantizando así la actualización, seguridad y el correcto funcionamiento del sistema a largo plazo.</w:t>
      </w:r>
    </w:p>
    <w:p w:rsidR="00000000" w:rsidDel="00000000" w:rsidP="00000000" w:rsidRDefault="00000000" w:rsidRPr="00000000" w14:paraId="0000013A">
      <w:pPr>
        <w:pStyle w:val="Heading2"/>
        <w:numPr>
          <w:ilvl w:val="1"/>
          <w:numId w:val="7"/>
        </w:numPr>
        <w:spacing w:after="240" w:before="240" w:line="360" w:lineRule="auto"/>
        <w:ind w:left="1440" w:hanging="360"/>
        <w:jc w:val="both"/>
        <w:rPr>
          <w:rFonts w:ascii="Times New Roman" w:cs="Times New Roman" w:eastAsia="Times New Roman" w:hAnsi="Times New Roman"/>
          <w:sz w:val="24"/>
          <w:szCs w:val="24"/>
        </w:rPr>
      </w:pPr>
      <w:bookmarkStart w:colFirst="0" w:colLast="0" w:name="_heading=h.xb083ami989" w:id="19"/>
      <w:bookmarkEnd w:id="19"/>
      <w:r w:rsidDel="00000000" w:rsidR="00000000" w:rsidRPr="00000000">
        <w:rPr>
          <w:sz w:val="24"/>
          <w:szCs w:val="24"/>
          <w:rtl w:val="0"/>
        </w:rPr>
        <w:t xml:space="preserve">FACTIBILIDAD SOCIAL</w:t>
      </w:r>
      <w:r w:rsidDel="00000000" w:rsidR="00000000" w:rsidRPr="00000000">
        <w:rPr>
          <w:rtl w:val="0"/>
        </w:rPr>
      </w:r>
    </w:p>
    <w:p w:rsidR="00000000" w:rsidDel="00000000" w:rsidP="00000000" w:rsidRDefault="00000000" w:rsidRPr="00000000" w14:paraId="0000013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genera un impacto positivo en la imagen corporativa de Tacna hacia el exterior. Al centralizar y verificar las certificaciones (SENASA, BRC, ISO) en una sección pública dedicada, se fortalece la confianza con los importadores internacionales, promoviendo la exportación de productos regionales de alta calidad. Internamente, reduce la brecha digital de la empresa familiar, profesionalizando la comunicación con el cliente mediante notificaciones automáticas y una presencia web multilingüe en español, inglés y portugués.</w:t>
      </w:r>
    </w:p>
    <w:p w:rsidR="00000000" w:rsidDel="00000000" w:rsidP="00000000" w:rsidRDefault="00000000" w:rsidRPr="00000000" w14:paraId="0000013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sus beneficios sociales destacan:</w:t>
      </w:r>
    </w:p>
    <w:p w:rsidR="00000000" w:rsidDel="00000000" w:rsidP="00000000" w:rsidRDefault="00000000" w:rsidRPr="00000000" w14:paraId="0000013D">
      <w:pPr>
        <w:numPr>
          <w:ilvl w:val="0"/>
          <w:numId w:val="9"/>
        </w:numPr>
        <w:spacing w:after="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Fortalecimiento de las relaciones comerciales internacionales, al brindar transparencia y confianza al importador extranjero mediante certificaciones públicas y tracking automatizado.</w:t>
      </w:r>
    </w:p>
    <w:p w:rsidR="00000000" w:rsidDel="00000000" w:rsidP="00000000" w:rsidRDefault="00000000" w:rsidRPr="00000000" w14:paraId="0000013E">
      <w:pPr>
        <w:numPr>
          <w:ilvl w:val="0"/>
          <w:numId w:val="9"/>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Profesionalización de la empresa familiar agroexportadora, reduciendo la brecha digital interna y modernizando la gestión de pedidos y comunicación con el cliente.</w:t>
      </w:r>
    </w:p>
    <w:p w:rsidR="00000000" w:rsidDel="00000000" w:rsidP="00000000" w:rsidRDefault="00000000" w:rsidRPr="00000000" w14:paraId="0000013F">
      <w:pPr>
        <w:numPr>
          <w:ilvl w:val="0"/>
          <w:numId w:val="9"/>
        </w:numPr>
        <w:spacing w:after="24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Posicionamiento de los productos agrícolas de la región de Tacna en mercados internacionales, contribuyendo al desarrollo económico local mediante la exportación formal y certificada.</w:t>
      </w:r>
    </w:p>
    <w:p w:rsidR="00000000" w:rsidDel="00000000" w:rsidP="00000000" w:rsidRDefault="00000000" w:rsidRPr="00000000" w14:paraId="0000014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también fomenta la digitalización de la comunidad, acercando a negocios pequeños y medianos a herramientas tecnológicas que antes no estaban a su alcance. La aceptación social esperada es alta, ya que la plataforma responde a una necesidad real y actual, especialmente en ciudades donde la información comercial no se encuentra centralizada.</w:t>
      </w:r>
    </w:p>
    <w:p w:rsidR="00000000" w:rsidDel="00000000" w:rsidP="00000000" w:rsidRDefault="00000000" w:rsidRPr="00000000" w14:paraId="00000141">
      <w:pPr>
        <w:pStyle w:val="Heading2"/>
        <w:numPr>
          <w:ilvl w:val="1"/>
          <w:numId w:val="7"/>
        </w:numPr>
        <w:spacing w:after="240" w:before="240" w:line="360" w:lineRule="auto"/>
        <w:ind w:left="1440" w:hanging="360"/>
        <w:jc w:val="both"/>
        <w:rPr>
          <w:rFonts w:ascii="Times New Roman" w:cs="Times New Roman" w:eastAsia="Times New Roman" w:hAnsi="Times New Roman"/>
          <w:sz w:val="24"/>
          <w:szCs w:val="24"/>
        </w:rPr>
      </w:pPr>
      <w:bookmarkStart w:colFirst="0" w:colLast="0" w:name="_heading=h.9plbglqxqzg7" w:id="20"/>
      <w:bookmarkEnd w:id="20"/>
      <w:r w:rsidDel="00000000" w:rsidR="00000000" w:rsidRPr="00000000">
        <w:rPr>
          <w:sz w:val="24"/>
          <w:szCs w:val="24"/>
          <w:rtl w:val="0"/>
        </w:rPr>
        <w:t xml:space="preserve">FACTIBILIDAD AMBIENTAL</w:t>
      </w:r>
      <w:r w:rsidDel="00000000" w:rsidR="00000000" w:rsidRPr="00000000">
        <w:rPr>
          <w:rtl w:val="0"/>
        </w:rPr>
      </w:r>
    </w:p>
    <w:p w:rsidR="00000000" w:rsidDel="00000000" w:rsidP="00000000" w:rsidRDefault="00000000" w:rsidRPr="00000000" w14:paraId="0000014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ambiental es igualmente viable, debido a que el sistema no genera residuos físicos ni emisiones contaminantes. Su naturaleza digital evita el uso de materiales impresos como volantes, catálogos, afiches u otros medios de publicidad tradicional que contribuyen al consumo de papel y eventual contaminación.</w:t>
      </w:r>
    </w:p>
    <w:p w:rsidR="00000000" w:rsidDel="00000000" w:rsidP="00000000" w:rsidRDefault="00000000" w:rsidRPr="00000000" w14:paraId="0000014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al fomentar herramientas digitales, el proyecto se alinea con políticas modernas de sostenibilidad y buenas prácticas ecológicas, promoviendo indirectamente hábitos responsables en la comunidad y en los negocios afiliados.</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1"/>
        <w:numPr>
          <w:ilvl w:val="0"/>
          <w:numId w:val="7"/>
        </w:numPr>
        <w:spacing w:after="0" w:line="360" w:lineRule="auto"/>
        <w:ind w:left="720" w:hanging="360"/>
        <w:jc w:val="both"/>
        <w:rPr>
          <w:rFonts w:ascii="Times New Roman" w:cs="Times New Roman" w:eastAsia="Times New Roman" w:hAnsi="Times New Roman"/>
          <w:b w:val="1"/>
          <w:bCs w:val="1"/>
          <w:sz w:val="24"/>
          <w:szCs w:val="24"/>
        </w:rPr>
      </w:pPr>
      <w:bookmarkStart w:colFirst="0" w:colLast="0" w:name="_heading=h.7egappz1yax7" w:id="21"/>
      <w:bookmarkEnd w:id="21"/>
      <w:r w:rsidDel="00000000" w:rsidR="00000000" w:rsidRPr="00000000">
        <w:rPr>
          <w:rFonts w:ascii="Times New Roman" w:cs="Times New Roman" w:eastAsia="Times New Roman" w:hAnsi="Times New Roman"/>
          <w:b w:val="1"/>
          <w:bCs w:val="1"/>
          <w:color w:val="000000"/>
          <w:sz w:val="24"/>
          <w:szCs w:val="24"/>
          <w:rtl w:val="0"/>
        </w:rPr>
        <w:t xml:space="preserve">ANÁLISIS FINANCIERO</w:t>
      </w:r>
      <w:r w:rsidDel="00000000" w:rsidR="00000000" w:rsidRPr="00000000">
        <w:rPr>
          <w:rtl w:val="0"/>
        </w:rPr>
      </w:r>
    </w:p>
    <w:p w:rsidR="00000000" w:rsidDel="00000000" w:rsidP="00000000" w:rsidRDefault="00000000" w:rsidRPr="00000000" w14:paraId="00000146">
      <w:pPr>
        <w:pStyle w:val="Heading2"/>
        <w:numPr>
          <w:ilvl w:val="1"/>
          <w:numId w:val="7"/>
        </w:numPr>
        <w:spacing w:after="240" w:before="0" w:line="360" w:lineRule="auto"/>
        <w:ind w:left="1440" w:hanging="360"/>
        <w:jc w:val="both"/>
        <w:rPr>
          <w:sz w:val="24"/>
          <w:szCs w:val="24"/>
        </w:rPr>
      </w:pPr>
      <w:bookmarkStart w:colFirst="0" w:colLast="0" w:name="_heading=h.c2uv2cx3ypzz" w:id="22"/>
      <w:bookmarkEnd w:id="22"/>
      <w:r w:rsidDel="00000000" w:rsidR="00000000" w:rsidRPr="00000000">
        <w:rPr>
          <w:sz w:val="24"/>
          <w:szCs w:val="24"/>
          <w:rtl w:val="0"/>
        </w:rPr>
        <w:t xml:space="preserve">JUSTIFICACIÓN DE LA INVERSIÓN</w:t>
      </w:r>
    </w:p>
    <w:p w:rsidR="00000000" w:rsidDel="00000000" w:rsidP="00000000" w:rsidRDefault="00000000" w:rsidRPr="00000000" w14:paraId="00000147">
      <w:pPr>
        <w:spacing w:after="240" w:before="240" w:line="360" w:lineRule="auto"/>
        <w:ind w:left="1440" w:firstLine="0"/>
        <w:jc w:val="both"/>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El desembolso de la inversión se justifica estratégicamente por la urgente necesidad de NODIEX de mitigar las pérdidas comerciales derivadas de una infraestructura web obsoleta que carece de tracción multiidioma y trazabilidad logística en tiempo real, lo que limita su capacidad de respuesta y competitividad internacional. </w:t>
      </w:r>
    </w:p>
    <w:p w:rsidR="00000000" w:rsidDel="00000000" w:rsidP="00000000" w:rsidRDefault="00000000" w:rsidRPr="00000000" w14:paraId="00000148">
      <w:pPr>
        <w:numPr>
          <w:ilvl w:val="0"/>
          <w:numId w:val="5"/>
        </w:numPr>
        <w:spacing w:after="0" w:before="240" w:line="360" w:lineRule="auto"/>
        <w:ind w:left="2160" w:hanging="360"/>
        <w:jc w:val="both"/>
        <w:rPr>
          <w:rFonts w:ascii="Times New Roman" w:cs="Times New Roman" w:eastAsia="Times New Roman" w:hAnsi="Times New Roman"/>
          <w:color w:val="27251e"/>
          <w:sz w:val="24"/>
          <w:szCs w:val="24"/>
          <w:u w:val="none"/>
        </w:rPr>
      </w:pPr>
      <w:r w:rsidDel="00000000" w:rsidR="00000000" w:rsidRPr="00000000">
        <w:rPr>
          <w:rFonts w:ascii="Times New Roman" w:cs="Times New Roman" w:eastAsia="Times New Roman" w:hAnsi="Times New Roman"/>
          <w:b w:val="1"/>
          <w:bCs w:val="1"/>
          <w:color w:val="27251e"/>
          <w:sz w:val="24"/>
          <w:szCs w:val="24"/>
          <w:rtl w:val="0"/>
        </w:rPr>
        <w:t xml:space="preserve">Necesidad del Negocio Identificada:</w:t>
      </w:r>
      <w:r w:rsidDel="00000000" w:rsidR="00000000" w:rsidRPr="00000000">
        <w:rPr>
          <w:rFonts w:ascii="Times New Roman" w:cs="Times New Roman" w:eastAsia="Times New Roman" w:hAnsi="Times New Roman"/>
          <w:color w:val="27251e"/>
          <w:sz w:val="24"/>
          <w:szCs w:val="24"/>
          <w:rtl w:val="0"/>
        </w:rPr>
        <w:t xml:space="preserve"> El sitio actual limita directamente la capacidad de NODIEX de captar clientes internacionales, pues no ofrece información en inglés ni portugués, no tiene precios por contenedor visibles y no permite al cliente conocer el estado de su pedido sin contactar a la empresa.</w:t>
      </w:r>
      <w:r w:rsidDel="00000000" w:rsidR="00000000" w:rsidRPr="00000000">
        <w:rPr>
          <w:rtl w:val="0"/>
        </w:rPr>
      </w:r>
    </w:p>
    <w:p w:rsidR="00000000" w:rsidDel="00000000" w:rsidP="00000000" w:rsidRDefault="00000000" w:rsidRPr="00000000" w14:paraId="00000149">
      <w:pPr>
        <w:numPr>
          <w:ilvl w:val="0"/>
          <w:numId w:val="5"/>
        </w:numPr>
        <w:spacing w:after="0" w:before="0" w:line="360" w:lineRule="auto"/>
        <w:ind w:left="2160" w:hanging="360"/>
        <w:jc w:val="both"/>
        <w:rPr>
          <w:rFonts w:ascii="Times New Roman" w:cs="Times New Roman" w:eastAsia="Times New Roman" w:hAnsi="Times New Roman"/>
          <w:color w:val="27251e"/>
          <w:sz w:val="24"/>
          <w:szCs w:val="24"/>
          <w:u w:val="none"/>
        </w:rPr>
      </w:pPr>
      <w:r w:rsidDel="00000000" w:rsidR="00000000" w:rsidRPr="00000000">
        <w:rPr>
          <w:rFonts w:ascii="Times New Roman" w:cs="Times New Roman" w:eastAsia="Times New Roman" w:hAnsi="Times New Roman"/>
          <w:b w:val="1"/>
          <w:bCs w:val="1"/>
          <w:color w:val="27251e"/>
          <w:sz w:val="24"/>
          <w:szCs w:val="24"/>
          <w:rtl w:val="0"/>
        </w:rPr>
        <w:t xml:space="preserve">Inversión Controlada:</w:t>
      </w:r>
      <w:r w:rsidDel="00000000" w:rsidR="00000000" w:rsidRPr="00000000">
        <w:rPr>
          <w:rFonts w:ascii="Times New Roman" w:cs="Times New Roman" w:eastAsia="Times New Roman" w:hAnsi="Times New Roman"/>
          <w:color w:val="27251e"/>
          <w:sz w:val="24"/>
          <w:szCs w:val="24"/>
          <w:rtl w:val="0"/>
        </w:rPr>
        <w:t xml:space="preserve"> Al utilizar tecnologías gratuitas u open-source (Next.js, PostgreSQL, Tailwind CSS) y servicios cloud con planes gratuitos en la fase inicial, el costo de desarrollo se minimiza sin comprometer la calidad técnica.</w:t>
      </w:r>
      <w:r w:rsidDel="00000000" w:rsidR="00000000" w:rsidRPr="00000000">
        <w:rPr>
          <w:rtl w:val="0"/>
        </w:rPr>
      </w:r>
    </w:p>
    <w:p w:rsidR="00000000" w:rsidDel="00000000" w:rsidP="00000000" w:rsidRDefault="00000000" w:rsidRPr="00000000" w14:paraId="0000014A">
      <w:pPr>
        <w:numPr>
          <w:ilvl w:val="0"/>
          <w:numId w:val="5"/>
        </w:numPr>
        <w:spacing w:after="240" w:before="0" w:line="360" w:lineRule="auto"/>
        <w:ind w:left="2160" w:hanging="360"/>
        <w:jc w:val="both"/>
        <w:rPr>
          <w:rFonts w:ascii="Times New Roman" w:cs="Times New Roman" w:eastAsia="Times New Roman" w:hAnsi="Times New Roman"/>
          <w:color w:val="27251e"/>
          <w:sz w:val="24"/>
          <w:szCs w:val="24"/>
          <w:u w:val="none"/>
        </w:rPr>
      </w:pPr>
      <w:r w:rsidDel="00000000" w:rsidR="00000000" w:rsidRPr="00000000">
        <w:rPr>
          <w:rFonts w:ascii="Times New Roman" w:cs="Times New Roman" w:eastAsia="Times New Roman" w:hAnsi="Times New Roman"/>
          <w:b w:val="1"/>
          <w:bCs w:val="1"/>
          <w:color w:val="27251e"/>
          <w:sz w:val="24"/>
          <w:szCs w:val="24"/>
          <w:rtl w:val="0"/>
        </w:rPr>
        <w:t xml:space="preserve">Retorno por Eficiencia Operativa:</w:t>
      </w:r>
      <w:r w:rsidDel="00000000" w:rsidR="00000000" w:rsidRPr="00000000">
        <w:rPr>
          <w:rFonts w:ascii="Times New Roman" w:cs="Times New Roman" w:eastAsia="Times New Roman" w:hAnsi="Times New Roman"/>
          <w:color w:val="27251e"/>
          <w:sz w:val="24"/>
          <w:szCs w:val="24"/>
          <w:rtl w:val="0"/>
        </w:rPr>
        <w:t xml:space="preserve"> El sistema elimina la necesidad de comunicaciones manuales de seguimiento de pedidos, ahorrando horas de trabajo del equipo por pedido gestionado.</w:t>
      </w:r>
      <w:r w:rsidDel="00000000" w:rsidR="00000000" w:rsidRPr="00000000">
        <w:rPr>
          <w:rtl w:val="0"/>
        </w:rPr>
      </w:r>
    </w:p>
    <w:p w:rsidR="00000000" w:rsidDel="00000000" w:rsidP="00000000" w:rsidRDefault="00000000" w:rsidRPr="00000000" w14:paraId="0000014B">
      <w:pPr>
        <w:spacing w:after="240" w:before="240" w:line="360" w:lineRule="auto"/>
        <w:ind w:left="0" w:firstLine="0"/>
        <w:jc w:val="both"/>
        <w:rPr>
          <w:rFonts w:ascii="Times New Roman" w:cs="Times New Roman" w:eastAsia="Times New Roman" w:hAnsi="Times New Roman"/>
          <w:color w:val="27251e"/>
          <w:sz w:val="24"/>
          <w:szCs w:val="24"/>
        </w:rPr>
      </w:pPr>
      <w:r w:rsidDel="00000000" w:rsidR="00000000" w:rsidRPr="00000000">
        <w:rPr>
          <w:rtl w:val="0"/>
        </w:rPr>
      </w:r>
    </w:p>
    <w:p w:rsidR="00000000" w:rsidDel="00000000" w:rsidP="00000000" w:rsidRDefault="00000000" w:rsidRPr="00000000" w14:paraId="0000014C">
      <w:pPr>
        <w:pStyle w:val="Heading2"/>
        <w:numPr>
          <w:ilvl w:val="1"/>
          <w:numId w:val="7"/>
        </w:numPr>
        <w:spacing w:after="0" w:lineRule="auto"/>
        <w:ind w:left="1440" w:hanging="360"/>
        <w:rPr>
          <w:rFonts w:ascii="Times New Roman" w:cs="Times New Roman" w:eastAsia="Times New Roman" w:hAnsi="Times New Roman"/>
          <w:sz w:val="24"/>
          <w:szCs w:val="24"/>
        </w:rPr>
      </w:pPr>
      <w:bookmarkStart w:colFirst="0" w:colLast="0" w:name="_heading=h.43z069tj5yxt" w:id="23"/>
      <w:bookmarkEnd w:id="23"/>
      <w:r w:rsidDel="00000000" w:rsidR="00000000" w:rsidRPr="00000000">
        <w:rPr>
          <w:rtl w:val="0"/>
        </w:rPr>
        <w:t xml:space="preserve">BENEFICIOS DEL PROYECTO</w:t>
      </w:r>
      <w:r w:rsidDel="00000000" w:rsidR="00000000" w:rsidRPr="00000000">
        <w:rPr>
          <w:rtl w:val="0"/>
        </w:rPr>
      </w:r>
    </w:p>
    <w:p w:rsidR="00000000" w:rsidDel="00000000" w:rsidP="00000000" w:rsidRDefault="00000000" w:rsidRPr="00000000" w14:paraId="0000014D">
      <w:pPr>
        <w:pStyle w:val="Heading3"/>
        <w:numPr>
          <w:ilvl w:val="2"/>
          <w:numId w:val="7"/>
        </w:numPr>
        <w:spacing w:after="0" w:before="0" w:lineRule="auto"/>
        <w:ind w:left="2160" w:hanging="360"/>
        <w:rPr>
          <w:b w:val="1"/>
          <w:bCs w:val="1"/>
          <w:sz w:val="24"/>
          <w:szCs w:val="24"/>
        </w:rPr>
      </w:pPr>
      <w:bookmarkStart w:colFirst="0" w:colLast="0" w:name="_heading=h.29bdfo4jeygh" w:id="24"/>
      <w:bookmarkEnd w:id="24"/>
      <w:r w:rsidDel="00000000" w:rsidR="00000000" w:rsidRPr="00000000">
        <w:rPr>
          <w:b w:val="1"/>
          <w:bCs w:val="1"/>
          <w:rtl w:val="0"/>
        </w:rPr>
        <w:t xml:space="preserve">BENEFICIOS TANGIBLES</w:t>
      </w:r>
      <w:r w:rsidDel="00000000" w:rsidR="00000000" w:rsidRPr="00000000">
        <w:rPr>
          <w:rtl w:val="0"/>
        </w:rPr>
      </w:r>
    </w:p>
    <w:p w:rsidR="00000000" w:rsidDel="00000000" w:rsidP="00000000" w:rsidRDefault="00000000" w:rsidRPr="00000000" w14:paraId="0000014E">
      <w:pPr>
        <w:numPr>
          <w:ilvl w:val="0"/>
          <w:numId w:val="2"/>
        </w:numPr>
        <w:spacing w:after="0" w:before="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Ahorro Operativo por Tracking Automatizado:</w:t>
      </w:r>
      <w:r w:rsidDel="00000000" w:rsidR="00000000" w:rsidRPr="00000000">
        <w:rPr>
          <w:rFonts w:ascii="Times New Roman" w:cs="Times New Roman" w:eastAsia="Times New Roman" w:hAnsi="Times New Roman"/>
          <w:sz w:val="24"/>
          <w:szCs w:val="24"/>
          <w:rtl w:val="0"/>
        </w:rPr>
        <w:t xml:space="preserve"> Reducción comprobada del 60% en el tiempo empleado por el personal administrativo en responder correos de seguimiento. Evaluando 2 horas semanales ahorradas a un costo base de S/ 25.00 la hora por las 52 semanas del año, se genera un beneficio directo de </w:t>
      </w:r>
      <w:r w:rsidDel="00000000" w:rsidR="00000000" w:rsidRPr="00000000">
        <w:rPr>
          <w:rFonts w:ascii="Times New Roman" w:cs="Times New Roman" w:eastAsia="Times New Roman" w:hAnsi="Times New Roman"/>
          <w:b w:val="1"/>
          <w:bCs w:val="1"/>
          <w:sz w:val="24"/>
          <w:szCs w:val="24"/>
          <w:rtl w:val="0"/>
        </w:rPr>
        <w:t xml:space="preserve">S/ 2,600.00 anuales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F">
      <w:pPr>
        <w:numPr>
          <w:ilvl w:val="0"/>
          <w:numId w:val="2"/>
        </w:numPr>
        <w:spacing w:after="0" w:before="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Expansión Comercial por Canal Multiidioma (EN/PT):</w:t>
      </w:r>
      <w:r w:rsidDel="00000000" w:rsidR="00000000" w:rsidRPr="00000000">
        <w:rPr>
          <w:rFonts w:ascii="Times New Roman" w:cs="Times New Roman" w:eastAsia="Times New Roman" w:hAnsi="Times New Roman"/>
          <w:sz w:val="24"/>
          <w:szCs w:val="24"/>
          <w:rtl w:val="0"/>
        </w:rPr>
        <w:t xml:space="preserve"> Estimación sumamente conservadora derivada de la captación de nuevos compradores B2B internacionales gracias al catálogo indexado en inglés y portugués, proyectando un incremento mínimo neto de </w:t>
      </w:r>
      <w:r w:rsidDel="00000000" w:rsidR="00000000" w:rsidRPr="00000000">
        <w:rPr>
          <w:rFonts w:ascii="Times New Roman" w:cs="Times New Roman" w:eastAsia="Times New Roman" w:hAnsi="Times New Roman"/>
          <w:b w:val="1"/>
          <w:bCs w:val="1"/>
          <w:sz w:val="24"/>
          <w:szCs w:val="24"/>
          <w:rtl w:val="0"/>
        </w:rPr>
        <w:t xml:space="preserve">S/ 15,000.00 anuales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0">
      <w:pPr>
        <w:numPr>
          <w:ilvl w:val="0"/>
          <w:numId w:val="2"/>
        </w:numPr>
        <w:spacing w:after="240" w:before="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Ahorro en Materiales Publicitarios Tradicionales:</w:t>
      </w:r>
      <w:r w:rsidDel="00000000" w:rsidR="00000000" w:rsidRPr="00000000">
        <w:rPr>
          <w:rFonts w:ascii="Times New Roman" w:cs="Times New Roman" w:eastAsia="Times New Roman" w:hAnsi="Times New Roman"/>
          <w:sz w:val="24"/>
          <w:szCs w:val="24"/>
          <w:rtl w:val="0"/>
        </w:rPr>
        <w:t xml:space="preserve"> Eliminación total de la necesidad de diseñar e imprimir catálogos o folletos físicos para ferias y envíos postales internacionales, lo que representa un ahorro de </w:t>
      </w:r>
      <w:r w:rsidDel="00000000" w:rsidR="00000000" w:rsidRPr="00000000">
        <w:rPr>
          <w:rFonts w:ascii="Times New Roman" w:cs="Times New Roman" w:eastAsia="Times New Roman" w:hAnsi="Times New Roman"/>
          <w:b w:val="1"/>
          <w:bCs w:val="1"/>
          <w:sz w:val="24"/>
          <w:szCs w:val="24"/>
          <w:rtl w:val="0"/>
        </w:rPr>
        <w:t xml:space="preserve">S/ 500.00 anuales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51">
      <w:pPr>
        <w:spacing w:after="240" w:before="240" w:line="360" w:lineRule="auto"/>
        <w:ind w:left="204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BENEFICIOS TANGIBLES ANUALES (INGRESOS): S/ 18,100.00</w:t>
      </w:r>
      <w:r w:rsidDel="00000000" w:rsidR="00000000" w:rsidRPr="00000000">
        <w:rPr>
          <w:rtl w:val="0"/>
        </w:rPr>
      </w:r>
    </w:p>
    <w:p w:rsidR="00000000" w:rsidDel="00000000" w:rsidP="00000000" w:rsidRDefault="00000000" w:rsidRPr="00000000" w14:paraId="00000152">
      <w:pPr>
        <w:pStyle w:val="Heading3"/>
        <w:numPr>
          <w:ilvl w:val="2"/>
          <w:numId w:val="7"/>
        </w:numPr>
        <w:spacing w:after="0" w:before="240" w:line="360" w:lineRule="auto"/>
        <w:ind w:left="2160" w:hanging="360"/>
        <w:rPr>
          <w:b w:val="1"/>
          <w:bCs w:val="1"/>
          <w:sz w:val="24"/>
          <w:szCs w:val="24"/>
        </w:rPr>
      </w:pPr>
      <w:bookmarkStart w:colFirst="0" w:colLast="0" w:name="_heading=h.vlwq474546k6" w:id="25"/>
      <w:bookmarkEnd w:id="25"/>
      <w:r w:rsidDel="00000000" w:rsidR="00000000" w:rsidRPr="00000000">
        <w:rPr>
          <w:b w:val="1"/>
          <w:bCs w:val="1"/>
          <w:sz w:val="24"/>
          <w:szCs w:val="24"/>
          <w:rtl w:val="0"/>
        </w:rPr>
        <w:t xml:space="preserve">BENEFICIOS INTANGIBLES</w:t>
      </w:r>
    </w:p>
    <w:p w:rsidR="00000000" w:rsidDel="00000000" w:rsidP="00000000" w:rsidRDefault="00000000" w:rsidRPr="00000000" w14:paraId="00000153">
      <w:pPr>
        <w:numPr>
          <w:ilvl w:val="0"/>
          <w:numId w:val="10"/>
        </w:numPr>
        <w:spacing w:after="0" w:before="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Reputación e Imagen Corporativa:</w:t>
      </w:r>
      <w:r w:rsidDel="00000000" w:rsidR="00000000" w:rsidRPr="00000000">
        <w:rPr>
          <w:rFonts w:ascii="Times New Roman" w:cs="Times New Roman" w:eastAsia="Times New Roman" w:hAnsi="Times New Roman"/>
          <w:sz w:val="24"/>
          <w:szCs w:val="24"/>
          <w:rtl w:val="0"/>
        </w:rPr>
        <w:t xml:space="preserve"> Proyección internacional de una marca moderna y competitiva alineada con los requerimientos logísticos de la globalización agroexportadora.</w:t>
      </w:r>
      <w:r w:rsidDel="00000000" w:rsidR="00000000" w:rsidRPr="00000000">
        <w:rPr>
          <w:rtl w:val="0"/>
        </w:rPr>
      </w:r>
    </w:p>
    <w:p w:rsidR="00000000" w:rsidDel="00000000" w:rsidP="00000000" w:rsidRDefault="00000000" w:rsidRPr="00000000" w14:paraId="00000154">
      <w:pPr>
        <w:numPr>
          <w:ilvl w:val="0"/>
          <w:numId w:val="10"/>
        </w:numPr>
        <w:spacing w:after="0" w:before="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Fidelización y Confianza:</w:t>
      </w:r>
      <w:r w:rsidDel="00000000" w:rsidR="00000000" w:rsidRPr="00000000">
        <w:rPr>
          <w:rFonts w:ascii="Times New Roman" w:cs="Times New Roman" w:eastAsia="Times New Roman" w:hAnsi="Times New Roman"/>
          <w:sz w:val="24"/>
          <w:szCs w:val="24"/>
          <w:rtl w:val="0"/>
        </w:rPr>
        <w:t xml:space="preserve"> Mayor transparencia y seguridad hacia el importador al visibilizar los certificados oficiales de calidad (SENASA, BRC, ISO, BASC) directamente vinculados a sus pedidos.</w:t>
      </w:r>
      <w:r w:rsidDel="00000000" w:rsidR="00000000" w:rsidRPr="00000000">
        <w:rPr>
          <w:rtl w:val="0"/>
        </w:rPr>
      </w:r>
    </w:p>
    <w:p w:rsidR="00000000" w:rsidDel="00000000" w:rsidP="00000000" w:rsidRDefault="00000000" w:rsidRPr="00000000" w14:paraId="00000155">
      <w:pPr>
        <w:numPr>
          <w:ilvl w:val="0"/>
          <w:numId w:val="10"/>
        </w:numPr>
        <w:spacing w:after="240" w:before="0" w:line="360" w:lineRule="auto"/>
        <w:ind w:left="288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Gobernanza y Control:</w:t>
      </w:r>
      <w:r w:rsidDel="00000000" w:rsidR="00000000" w:rsidRPr="00000000">
        <w:rPr>
          <w:rFonts w:ascii="Times New Roman" w:cs="Times New Roman" w:eastAsia="Times New Roman" w:hAnsi="Times New Roman"/>
          <w:sz w:val="24"/>
          <w:szCs w:val="24"/>
          <w:rtl w:val="0"/>
        </w:rPr>
        <w:t xml:space="preserve"> Centralización de la data histórica de despachos, agilizando la toma de decisiones gerenciales con bases informativas sólidas.</w:t>
      </w:r>
      <w:r w:rsidDel="00000000" w:rsidR="00000000" w:rsidRPr="00000000">
        <w:rPr>
          <w:rtl w:val="0"/>
        </w:rPr>
      </w:r>
    </w:p>
    <w:p w:rsidR="00000000" w:rsidDel="00000000" w:rsidP="00000000" w:rsidRDefault="00000000" w:rsidRPr="00000000" w14:paraId="0000015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2"/>
        <w:numPr>
          <w:ilvl w:val="1"/>
          <w:numId w:val="7"/>
        </w:numPr>
        <w:ind w:left="1440" w:hanging="360"/>
        <w:rPr>
          <w:rFonts w:ascii="Times New Roman" w:cs="Times New Roman" w:eastAsia="Times New Roman" w:hAnsi="Times New Roman"/>
          <w:b w:val="1"/>
          <w:bCs w:val="1"/>
          <w:sz w:val="24"/>
          <w:szCs w:val="24"/>
        </w:rPr>
      </w:pPr>
      <w:bookmarkStart w:colFirst="0" w:colLast="0" w:name="_heading=h.fdx0jhxspuhe" w:id="26"/>
      <w:bookmarkEnd w:id="26"/>
      <w:r w:rsidDel="00000000" w:rsidR="00000000" w:rsidRPr="00000000">
        <w:rPr>
          <w:rtl w:val="0"/>
        </w:rPr>
        <w:t xml:space="preserve">TABLA DE EGRESOS OPERATIVOS ANUALES</w:t>
      </w:r>
      <w:r w:rsidDel="00000000" w:rsidR="00000000" w:rsidRPr="00000000">
        <w:rPr>
          <w:rtl w:val="0"/>
        </w:rPr>
      </w:r>
    </w:p>
    <w:tbl>
      <w:tblPr>
        <w:tblStyle w:val="Table10"/>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 Operativo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Proveedor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Anualizado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VPS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Elástika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Técnico Preventivo y Parches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Frontend y CDN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Renovación de Dominios Corporativos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DE EGRESOS OPERATIVOS 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S/1,810.00</w:t>
            </w:r>
          </w:p>
        </w:tc>
      </w:tr>
    </w:tbl>
    <w:p w:rsidR="00000000" w:rsidDel="00000000" w:rsidP="00000000" w:rsidRDefault="00000000" w:rsidRPr="00000000" w14:paraId="0000017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numPr>
          <w:ilvl w:val="1"/>
          <w:numId w:val="7"/>
        </w:numPr>
        <w:ind w:left="1440" w:hanging="360"/>
        <w:rPr/>
      </w:pPr>
      <w:bookmarkStart w:colFirst="0" w:colLast="0" w:name="_heading=h.mevqtnfsnbg0" w:id="27"/>
      <w:bookmarkEnd w:id="27"/>
      <w:r w:rsidDel="00000000" w:rsidR="00000000" w:rsidRPr="00000000">
        <w:rPr>
          <w:rtl w:val="0"/>
        </w:rPr>
        <w:t xml:space="preserve">TABLA DE INGRESOS ANUALES</w:t>
      </w:r>
    </w:p>
    <w:tbl>
      <w:tblPr>
        <w:tblStyle w:val="Table11"/>
        <w:tblW w:w="7063.999999999998"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Origen del Beneficio Tangible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impacto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del tracking comercial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Ahorro en planilla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Penetración de mercado internacional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neto en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Digitalización de catálogos 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impresiones de 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DE INGRESOS OPERATIVOS 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S/18,100.00</w:t>
            </w:r>
          </w:p>
        </w:tc>
      </w:tr>
    </w:tbl>
    <w:p w:rsidR="00000000" w:rsidDel="00000000" w:rsidP="00000000" w:rsidRDefault="00000000" w:rsidRPr="00000000" w14:paraId="00000181">
      <w:pPr>
        <w:ind w:left="1440" w:firstLine="0"/>
        <w:rPr/>
      </w:pPr>
      <w:r w:rsidDel="00000000" w:rsidR="00000000" w:rsidRPr="00000000">
        <w:rPr>
          <w:rtl w:val="0"/>
        </w:rPr>
      </w:r>
    </w:p>
    <w:p w:rsidR="00000000" w:rsidDel="00000000" w:rsidP="00000000" w:rsidRDefault="00000000" w:rsidRPr="00000000" w14:paraId="00000182">
      <w:pPr>
        <w:pStyle w:val="Heading2"/>
        <w:numPr>
          <w:ilvl w:val="1"/>
          <w:numId w:val="7"/>
        </w:numPr>
        <w:ind w:left="1440" w:hanging="360"/>
        <w:rPr/>
      </w:pPr>
      <w:bookmarkStart w:colFirst="0" w:colLast="0" w:name="_heading=h.xdpudakxa0as" w:id="28"/>
      <w:bookmarkEnd w:id="28"/>
      <w:r w:rsidDel="00000000" w:rsidR="00000000" w:rsidRPr="00000000">
        <w:rPr>
          <w:rtl w:val="0"/>
        </w:rPr>
        <w:t xml:space="preserve">MATRIZ DEL FLUJO DE CAJA NETO</w:t>
      </w:r>
    </w:p>
    <w:p w:rsidR="00000000" w:rsidDel="00000000" w:rsidP="00000000" w:rsidRDefault="00000000" w:rsidRPr="00000000" w14:paraId="00000183">
      <w:pPr>
        <w:spacing w:line="360" w:lineRule="auto"/>
        <w:ind w:left="1440" w:firstLine="0"/>
        <w:rPr/>
      </w:pPr>
      <w:r w:rsidDel="00000000" w:rsidR="00000000" w:rsidRPr="00000000">
        <w:rPr>
          <w:rFonts w:ascii="Times New Roman" w:cs="Times New Roman" w:eastAsia="Times New Roman" w:hAnsi="Times New Roman"/>
          <w:sz w:val="24"/>
          <w:szCs w:val="24"/>
          <w:rtl w:val="0"/>
        </w:rPr>
        <w:t xml:space="preserve">Se presenta la matriz de flujos descontados utilizando un Costo de Oportunidad del Capital </w:t>
      </w:r>
      <w:r w:rsidDel="00000000" w:rsidR="00000000" w:rsidRPr="00000000">
        <w:rPr>
          <w:rFonts w:ascii="Times New Roman" w:cs="Times New Roman" w:eastAsia="Times New Roman" w:hAnsi="Times New Roman"/>
          <w:b w:val="1"/>
          <w:bCs w:val="1"/>
          <w:sz w:val="24"/>
          <w:szCs w:val="24"/>
          <w:rtl w:val="0"/>
        </w:rPr>
        <w:t xml:space="preserve">(COK) del 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2"/>
        <w:tblW w:w="709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410"/>
        <w:gridCol w:w="1410"/>
        <w:gridCol w:w="1440"/>
        <w:gridCol w:w="1410"/>
        <w:tblGridChange w:id="0">
          <w:tblGrid>
            <w:gridCol w:w="1425"/>
            <w:gridCol w:w="1410"/>
            <w:gridCol w:w="1410"/>
            <w:gridCol w:w="1440"/>
            <w:gridCol w:w="14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Financiera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Periodo 0 (Inversión)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Año 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Año 2</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Año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S/18,100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Egresos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Neto de 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(S/10,700.00)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S/16,290.00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S/16,290.00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S/16,290.00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de Descuento (COK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(1+0.09)</m:t>
                  </m:r>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0.9174</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(1+0.09)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sSup>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0.8417</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(1+0.09)</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m:t>
                      </m:r>
                    </m:e>
                    <m:sup/>
                  </m:sSup>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0.7722</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de Efectivo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(S/10,700.00)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S/14,944.44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S/13,711.30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S/12,579.14</w:t>
            </w:r>
          </w:p>
        </w:tc>
      </w:tr>
    </w:tbl>
    <w:p w:rsidR="00000000" w:rsidDel="00000000" w:rsidP="00000000" w:rsidRDefault="00000000" w:rsidRPr="00000000" w14:paraId="000001A5">
      <w:pPr>
        <w:ind w:left="1440" w:firstLine="0"/>
        <w:rPr/>
      </w:pPr>
      <w:r w:rsidDel="00000000" w:rsidR="00000000" w:rsidRPr="00000000">
        <w:rPr>
          <w:rtl w:val="0"/>
        </w:rPr>
      </w:r>
    </w:p>
    <w:p w:rsidR="00000000" w:rsidDel="00000000" w:rsidP="00000000" w:rsidRDefault="00000000" w:rsidRPr="00000000" w14:paraId="000001A6">
      <w:pPr>
        <w:pStyle w:val="Heading2"/>
        <w:numPr>
          <w:ilvl w:val="1"/>
          <w:numId w:val="7"/>
        </w:numPr>
        <w:spacing w:after="0" w:lineRule="auto"/>
        <w:ind w:left="1440" w:hanging="360"/>
        <w:rPr/>
      </w:pPr>
      <w:bookmarkStart w:colFirst="0" w:colLast="0" w:name="_heading=h.3zemetwh6n4w" w:id="29"/>
      <w:bookmarkEnd w:id="29"/>
      <w:r w:rsidDel="00000000" w:rsidR="00000000" w:rsidRPr="00000000">
        <w:rPr>
          <w:rtl w:val="0"/>
        </w:rPr>
        <w:t xml:space="preserve">CRITERIOS DE INVERSIÓN</w:t>
      </w:r>
    </w:p>
    <w:p w:rsidR="00000000" w:rsidDel="00000000" w:rsidP="00000000" w:rsidRDefault="00000000" w:rsidRPr="00000000" w14:paraId="000001A7">
      <w:pPr>
        <w:pStyle w:val="Heading3"/>
        <w:numPr>
          <w:ilvl w:val="2"/>
          <w:numId w:val="7"/>
        </w:numPr>
        <w:spacing w:before="0" w:line="360" w:lineRule="auto"/>
        <w:ind w:left="2160" w:hanging="360"/>
        <w:jc w:val="both"/>
        <w:rPr>
          <w:b w:val="1"/>
          <w:bCs w:val="1"/>
        </w:rPr>
      </w:pPr>
      <w:bookmarkStart w:colFirst="0" w:colLast="0" w:name="_heading=h.s0hh1l46wewh" w:id="30"/>
      <w:bookmarkEnd w:id="30"/>
      <w:r w:rsidDel="00000000" w:rsidR="00000000" w:rsidRPr="00000000">
        <w:rPr>
          <w:b w:val="1"/>
          <w:bCs w:val="1"/>
          <w:rtl w:val="0"/>
        </w:rPr>
        <w:t xml:space="preserve">VALOR ACTUAL NETO (VAN)</w:t>
      </w:r>
    </w:p>
    <w:p w:rsidR="00000000" w:rsidDel="00000000" w:rsidP="00000000" w:rsidRDefault="00000000" w:rsidRPr="00000000" w14:paraId="000001A8">
      <w:pPr>
        <w:spacing w:after="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VAN representa el valor actual de los beneficios netos que genera el proyecto descontando la inversión inicial. Su fórmula matemática es: </w:t>
      </w:r>
    </w:p>
    <w:p w:rsidR="00000000" w:rsidDel="00000000" w:rsidP="00000000" w:rsidRDefault="00000000" w:rsidRPr="00000000" w14:paraId="000001A9">
      <w:pPr>
        <w:spacing w:after="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0" w:line="360" w:lineRule="auto"/>
        <w:ind w:left="216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VAN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n</m:t>
                </m:r>
              </m:sup>
            </m:nary>
          </m:e>
          <m:sub/>
        </m:sSub>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t</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(1+COK)</m:t>
                </m:r>
              </m:e>
              <m:sup>
                <m:r>
                  <w:rPr>
                    <w:rFonts w:ascii="Times New Roman" w:cs="Times New Roman" w:eastAsia="Times New Roman" w:hAnsi="Times New Roman"/>
                    <w:sz w:val="24"/>
                    <w:szCs w:val="24"/>
                  </w:rPr>
                  <m:t xml:space="preserve">t</m:t>
                </m:r>
              </m:sup>
            </m:sSup>
          </m:den>
        </m:f>
        <m:sSub>
          <m:sSubPr>
            <m:ctrlPr>
              <w:rPr>
                <w:rFonts w:ascii="Times New Roman" w:cs="Times New Roman" w:eastAsia="Times New Roman" w:hAnsi="Times New Roman"/>
                <w:sz w:val="24"/>
                <w:szCs w:val="24"/>
              </w:rPr>
            </m:ctrlPr>
          </m:sSubPr>
          <m:e/>
          <m:sub/>
        </m:sSub>
      </m:oMath>
      <w:r w:rsidDel="00000000" w:rsidR="00000000" w:rsidRPr="00000000">
        <w:rPr>
          <w:rtl w:val="0"/>
        </w:rPr>
      </w:r>
    </w:p>
    <w:p w:rsidR="00000000" w:rsidDel="00000000" w:rsidP="00000000" w:rsidRDefault="00000000" w:rsidRPr="00000000" w14:paraId="000001AB">
      <w:pPr>
        <w:spacing w:after="240" w:line="276"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Reemplazando los datos reales y actualizados de la matriz:</w:t>
      </w:r>
    </w:p>
    <w:p w:rsidR="00000000" w:rsidDel="00000000" w:rsidP="00000000" w:rsidRDefault="00000000" w:rsidRPr="00000000" w14:paraId="000001AC">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 -10,700.00 + 14,944.44 + 13,711.30 + 12,579.14</w:t>
      </w:r>
    </w:p>
    <w:p w:rsidR="00000000" w:rsidDel="00000000" w:rsidP="00000000" w:rsidRDefault="00000000" w:rsidRPr="00000000" w14:paraId="000001AD">
      <w:pPr>
        <w:spacing w:after="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 S/ 30,534.88</w:t>
      </w:r>
    </w:p>
    <w:p w:rsidR="00000000" w:rsidDel="00000000" w:rsidP="00000000" w:rsidRDefault="00000000" w:rsidRPr="00000000" w14:paraId="000001A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3"/>
        <w:numPr>
          <w:ilvl w:val="2"/>
          <w:numId w:val="7"/>
        </w:numPr>
        <w:spacing w:line="360" w:lineRule="auto"/>
        <w:ind w:left="2160" w:hanging="360"/>
        <w:jc w:val="both"/>
        <w:rPr>
          <w:b w:val="1"/>
          <w:bCs w:val="1"/>
        </w:rPr>
      </w:pPr>
      <w:bookmarkStart w:colFirst="0" w:colLast="0" w:name="_heading=h.ycdq1z3m9mmr" w:id="31"/>
      <w:bookmarkEnd w:id="31"/>
      <w:r w:rsidDel="00000000" w:rsidR="00000000" w:rsidRPr="00000000">
        <w:rPr>
          <w:b w:val="1"/>
          <w:bCs w:val="1"/>
          <w:rtl w:val="0"/>
        </w:rPr>
        <w:t xml:space="preserve">TASA INTERNA DE RETORNO</w:t>
      </w:r>
    </w:p>
    <w:p w:rsidR="00000000" w:rsidDel="00000000" w:rsidP="00000000" w:rsidRDefault="00000000" w:rsidRPr="00000000" w14:paraId="000001B0">
      <w:pPr>
        <w:spacing w:after="21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TIR indica la rentabilidad promedio anual que genera el capital invertido dentro del proyecto, calculándose al igualar el VAN a cero (VAN = 0): </w:t>
      </w:r>
    </w:p>
    <w:p w:rsidR="00000000" w:rsidDel="00000000" w:rsidP="00000000" w:rsidRDefault="00000000" w:rsidRPr="00000000" w14:paraId="000001B1">
      <w:pPr>
        <w:spacing w:after="120" w:line="360" w:lineRule="auto"/>
        <w:ind w:left="216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0=−10,700+</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16,290</m:t>
            </m:r>
          </m:num>
          <m:den>
            <m:r>
              <w:rPr>
                <w:rFonts w:ascii="Times New Roman" w:cs="Times New Roman" w:eastAsia="Times New Roman" w:hAnsi="Times New Roman"/>
                <w:sz w:val="24"/>
                <w:szCs w:val="24"/>
              </w:rPr>
              <m:t xml:space="preserve">(1+TIR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16,290</m:t>
            </m:r>
          </m:num>
          <m:den>
            <m:r>
              <w:rPr>
                <w:rFonts w:ascii="Times New Roman" w:cs="Times New Roman" w:eastAsia="Times New Roman" w:hAnsi="Times New Roman"/>
                <w:sz w:val="24"/>
                <w:szCs w:val="24"/>
              </w:rPr>
              <m:t xml:space="preserve">(1+TIR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16,290</m:t>
            </m:r>
          </m:num>
          <m:den>
            <m:r>
              <w:rPr>
                <w:rFonts w:ascii="Times New Roman" w:cs="Times New Roman" w:eastAsia="Times New Roman" w:hAnsi="Times New Roman"/>
                <w:sz w:val="24"/>
                <w:szCs w:val="24"/>
              </w:rPr>
              <m:t xml:space="preserve">(1+TIR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3</m:t>
                </m:r>
              </m:sup>
            </m:sSup>
          </m:den>
        </m:f>
      </m:oMath>
      <w:r w:rsidDel="00000000" w:rsidR="00000000" w:rsidRPr="00000000">
        <w:rPr>
          <w:rtl w:val="0"/>
        </w:rPr>
      </w:r>
    </w:p>
    <w:p w:rsidR="00000000" w:rsidDel="00000000" w:rsidP="00000000" w:rsidRDefault="00000000" w:rsidRPr="00000000" w14:paraId="000001B2">
      <w:pPr>
        <w:spacing w:after="120" w:line="360" w:lineRule="auto"/>
        <w:ind w:left="21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Efectuando la resolución numérica y financiera por iteración: </w:t>
      </w:r>
    </w:p>
    <w:p w:rsidR="00000000" w:rsidDel="00000000" w:rsidP="00000000" w:rsidRDefault="00000000" w:rsidRPr="00000000" w14:paraId="000001B3">
      <w:pPr>
        <w:spacing w:after="120" w:line="360" w:lineRule="auto"/>
        <w:ind w:left="216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TIR≈139.14% anual</m:t>
        </m:r>
      </m:oMath>
      <w:r w:rsidDel="00000000" w:rsidR="00000000" w:rsidRPr="00000000">
        <w:rPr>
          <w:rtl w:val="0"/>
        </w:rPr>
      </w:r>
    </w:p>
    <w:p w:rsidR="00000000" w:rsidDel="00000000" w:rsidP="00000000" w:rsidRDefault="00000000" w:rsidRPr="00000000" w14:paraId="000001B4">
      <w:pPr>
        <w:spacing w:after="21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Decisión:</w:t>
      </w:r>
      <w:r w:rsidDel="00000000" w:rsidR="00000000" w:rsidRPr="00000000">
        <w:rPr>
          <w:rFonts w:ascii="Times New Roman" w:cs="Times New Roman" w:eastAsia="Times New Roman" w:hAnsi="Times New Roman"/>
          <w:sz w:val="24"/>
          <w:szCs w:val="24"/>
          <w:rtl w:val="0"/>
        </w:rPr>
        <w:t xml:space="preserve"> Debido a que la TIR (139.14\%) &gt; COK (9%), la rentabilidad interna del proyecto supera masivamente la rentabilidad de dejar el dinero en un depósito a plazo fijo en una entidad bancaria, catalogándolo como una inversión de alta tasa atractiva y de bajo riesgo. </w:t>
      </w:r>
    </w:p>
    <w:p w:rsidR="00000000" w:rsidDel="00000000" w:rsidP="00000000" w:rsidRDefault="00000000" w:rsidRPr="00000000" w14:paraId="000001B5">
      <w:pPr>
        <w:pStyle w:val="Heading3"/>
        <w:numPr>
          <w:ilvl w:val="2"/>
          <w:numId w:val="7"/>
        </w:numPr>
        <w:ind w:left="2160" w:hanging="360"/>
        <w:rPr>
          <w:rFonts w:ascii="Times New Roman" w:cs="Times New Roman" w:eastAsia="Times New Roman" w:hAnsi="Times New Roman"/>
          <w:b w:val="1"/>
          <w:bCs w:val="1"/>
          <w:sz w:val="24"/>
          <w:szCs w:val="24"/>
        </w:rPr>
      </w:pPr>
      <w:bookmarkStart w:colFirst="0" w:colLast="0" w:name="_heading=h.d0pvb27ias7o" w:id="32"/>
      <w:bookmarkEnd w:id="32"/>
      <w:r w:rsidDel="00000000" w:rsidR="00000000" w:rsidRPr="00000000">
        <w:rPr>
          <w:b w:val="1"/>
          <w:bCs w:val="1"/>
          <w:rtl w:val="0"/>
        </w:rPr>
        <w:t xml:space="preserve">RELACIÓN BENEFICIO/COSTO (B/C)</w:t>
      </w:r>
      <w:r w:rsidDel="00000000" w:rsidR="00000000" w:rsidRPr="00000000">
        <w:rPr>
          <w:rtl w:val="0"/>
        </w:rPr>
      </w:r>
    </w:p>
    <w:p w:rsidR="00000000" w:rsidDel="00000000" w:rsidP="00000000" w:rsidRDefault="00000000" w:rsidRPr="00000000" w14:paraId="000001B6">
      <w:pPr>
        <w:spacing w:after="21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índice de rentabilidad real por cada sol invertido directamente en la iniciativa, dividiendo el Valor Actual de los flujos de netos entre la inversión del proyecto: </w:t>
      </w:r>
    </w:p>
    <w:p w:rsidR="00000000" w:rsidDel="00000000" w:rsidP="00000000" w:rsidRDefault="00000000" w:rsidRPr="00000000" w14:paraId="000001B7">
      <w:pPr>
        <w:spacing w:after="210" w:line="360" w:lineRule="auto"/>
        <w:ind w:left="3600" w:firstLine="72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B/C = </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t=1</m:t>
                </m:r>
              </m:sub>
              <m:sup>
                <m:r>
                  <w:rPr>
                    <w:rFonts w:ascii="Times New Roman" w:cs="Times New Roman" w:eastAsia="Times New Roman" w:hAnsi="Times New Roman"/>
                    <w:sz w:val="24"/>
                    <w:szCs w:val="24"/>
                  </w:rPr>
                  <m:t xml:space="preserve">n</m:t>
                </m:r>
              </m:sup>
            </m:nary>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FNE</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t</m:t>
                    </m:r>
                  </m:sub>
                </m:sSub>
              </m:num>
              <m:den>
                <m:r>
                  <w:rPr>
                    <w:rFonts w:ascii="Times New Roman" w:cs="Times New Roman" w:eastAsia="Times New Roman" w:hAnsi="Times New Roman"/>
                    <w:sz w:val="24"/>
                    <w:szCs w:val="24"/>
                  </w:rPr>
                  <m:t xml:space="preserve">(1+COK)</m:t>
                </m:r>
                <m:sSup>
                  <m:sSupPr>
                    <m:ctrlPr>
                      <w:rPr>
                        <w:rFonts w:ascii="Times New Roman" w:cs="Times New Roman" w:eastAsia="Times New Roman" w:hAnsi="Times New Roman"/>
                        <w:sz w:val="24"/>
                        <w:szCs w:val="24"/>
                      </w:rPr>
                    </m:ctrlPr>
                  </m:sSupPr>
                  <m:e/>
                  <m:sup>
                    <m:r>
                      <w:rPr>
                        <w:rFonts w:ascii="Times New Roman" w:cs="Times New Roman" w:eastAsia="Times New Roman" w:hAnsi="Times New Roman"/>
                        <w:sz w:val="24"/>
                        <w:szCs w:val="24"/>
                      </w:rPr>
                      <m:t xml:space="preserve">t</m:t>
                    </m:r>
                  </m:sup>
                </m:sSup>
              </m:den>
            </m:f>
          </m:num>
          <m:den>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sub>
                <m:r>
                  <w:rPr>
                    <w:rFonts w:ascii="Times New Roman" w:cs="Times New Roman" w:eastAsia="Times New Roman" w:hAnsi="Times New Roman"/>
                    <w:sz w:val="24"/>
                    <w:szCs w:val="24"/>
                  </w:rPr>
                  <m:t xml:space="preserve">0</m:t>
                </m:r>
              </m:sub>
            </m:sSub>
          </m:den>
        </m:f>
      </m:oMath>
      <w:r w:rsidDel="00000000" w:rsidR="00000000" w:rsidRPr="00000000">
        <w:rPr>
          <w:rtl w:val="0"/>
        </w:rPr>
      </w:r>
    </w:p>
    <w:p w:rsidR="00000000" w:rsidDel="00000000" w:rsidP="00000000" w:rsidRDefault="00000000" w:rsidRPr="00000000" w14:paraId="000001B8">
      <w:pPr>
        <w:spacing w:after="120" w:line="360" w:lineRule="auto"/>
        <w:ind w:left="216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B/C=</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14.944.44 + 13,711.30 + 12,579.14</m:t>
            </m:r>
          </m:num>
          <m:den>
            <m:r>
              <w:rPr>
                <w:rFonts w:ascii="Times New Roman" w:cs="Times New Roman" w:eastAsia="Times New Roman" w:hAnsi="Times New Roman"/>
                <w:sz w:val="24"/>
                <w:szCs w:val="24"/>
              </w:rPr>
              <m:t xml:space="preserve">10,700.00</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41,234.88</m:t>
            </m:r>
          </m:num>
          <m:den>
            <m:r>
              <w:rPr>
                <w:rFonts w:ascii="Times New Roman" w:cs="Times New Roman" w:eastAsia="Times New Roman" w:hAnsi="Times New Roman"/>
                <w:sz w:val="24"/>
                <w:szCs w:val="24"/>
              </w:rPr>
              <m:t xml:space="preserve">10,700.00</m:t>
            </m:r>
          </m:den>
        </m:f>
      </m:oMath>
      <w:r w:rsidDel="00000000" w:rsidR="00000000" w:rsidRPr="00000000">
        <w:rPr>
          <w:rtl w:val="0"/>
        </w:rPr>
      </w:r>
    </w:p>
    <w:p w:rsidR="00000000" w:rsidDel="00000000" w:rsidP="00000000" w:rsidRDefault="00000000" w:rsidRPr="00000000" w14:paraId="000001B9">
      <w:pPr>
        <w:spacing w:after="120" w:line="360" w:lineRule="auto"/>
        <w:ind w:left="216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B/C = 3.85</m:t>
        </m:r>
      </m:oMath>
      <w:r w:rsidDel="00000000" w:rsidR="00000000" w:rsidRPr="00000000">
        <w:rPr>
          <w:rtl w:val="0"/>
        </w:rPr>
      </w:r>
    </w:p>
    <w:p w:rsidR="00000000" w:rsidDel="00000000" w:rsidP="00000000" w:rsidRDefault="00000000" w:rsidRPr="00000000" w14:paraId="000001BA">
      <w:pPr>
        <w:spacing w:after="21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Decisión:</w:t>
      </w:r>
      <w:r w:rsidDel="00000000" w:rsidR="00000000" w:rsidRPr="00000000">
        <w:rPr>
          <w:rFonts w:ascii="Times New Roman" w:cs="Times New Roman" w:eastAsia="Times New Roman" w:hAnsi="Times New Roman"/>
          <w:sz w:val="24"/>
          <w:szCs w:val="24"/>
          <w:rtl w:val="0"/>
        </w:rPr>
        <w:t xml:space="preserve"> Al ser el B/C &gt; 1, el proyecto es altamente rentable y se acepta. La interpretación exacta dicta que por cada sol (S/ 1.00) invertido en el desarrollo del sistema web, Nodiex recuperará su inversión y obtendrá una ganancia neta adicional de S/ 2.85 en beneficios. </w:t>
      </w:r>
    </w:p>
    <w:p w:rsidR="00000000" w:rsidDel="00000000" w:rsidP="00000000" w:rsidRDefault="00000000" w:rsidRPr="00000000" w14:paraId="000001BB">
      <w:pPr>
        <w:pStyle w:val="Heading1"/>
        <w:numPr>
          <w:ilvl w:val="0"/>
          <w:numId w:val="7"/>
        </w:numPr>
        <w:spacing w:line="360" w:lineRule="auto"/>
        <w:ind w:left="720" w:hanging="360"/>
        <w:jc w:val="both"/>
        <w:rPr>
          <w:rFonts w:ascii="Times New Roman" w:cs="Times New Roman" w:eastAsia="Times New Roman" w:hAnsi="Times New Roman"/>
          <w:b w:val="1"/>
          <w:bCs w:val="1"/>
          <w:sz w:val="24"/>
          <w:szCs w:val="24"/>
        </w:rPr>
      </w:pPr>
      <w:bookmarkStart w:colFirst="0" w:colLast="0" w:name="_heading=h.wgoec5lruj0z" w:id="33"/>
      <w:bookmarkEnd w:id="33"/>
      <w:r w:rsidDel="00000000" w:rsidR="00000000" w:rsidRPr="00000000">
        <w:rPr>
          <w:rFonts w:ascii="Times New Roman" w:cs="Times New Roman" w:eastAsia="Times New Roman" w:hAnsi="Times New Roman"/>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1B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integral de factibilidad ejecutado para el proyecto de Modernización Digital y Trazabilidad Logística de Exportaciones de NODIEX DEL PERÚ S.A.C. permite concluir de forma categórica que la iniciativa es completamente viable y altamente recomendable para su ejecución inmediata.</w:t>
      </w:r>
    </w:p>
    <w:p w:rsidR="00000000" w:rsidDel="00000000" w:rsidP="00000000" w:rsidRDefault="00000000" w:rsidRPr="00000000" w14:paraId="000001BD">
      <w:pPr>
        <w:numPr>
          <w:ilvl w:val="0"/>
          <w:numId w:val="3"/>
        </w:numPr>
        <w:spacing w:after="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Factibilidad Técnica:</w:t>
      </w:r>
      <w:r w:rsidDel="00000000" w:rsidR="00000000" w:rsidRPr="00000000">
        <w:rPr>
          <w:rFonts w:ascii="Times New Roman" w:cs="Times New Roman" w:eastAsia="Times New Roman" w:hAnsi="Times New Roman"/>
          <w:sz w:val="24"/>
          <w:szCs w:val="24"/>
          <w:rtl w:val="0"/>
        </w:rPr>
        <w:t xml:space="preserve"> El proyecto es técnicamente factible debido a que el stack de libre distribución propuesto (Next.js, React y PostgreSQL) se adecúa de forma nativa a la infraestructura física existente de la empresa (laptops administrativas y conectividad básica). Se elimina la necesidad de comprar servidores locales complejos gracias a un despliegue nativo en la nube, cuyo costo de mantenimiento anual se encuentra formalmente respaldado por el presupuesto de la gerencia general.</w:t>
      </w:r>
      <w:r w:rsidDel="00000000" w:rsidR="00000000" w:rsidRPr="00000000">
        <w:rPr>
          <w:rtl w:val="0"/>
        </w:rPr>
      </w:r>
    </w:p>
    <w:p w:rsidR="00000000" w:rsidDel="00000000" w:rsidP="00000000" w:rsidRDefault="00000000" w:rsidRPr="00000000" w14:paraId="000001BE">
      <w:pPr>
        <w:numPr>
          <w:ilvl w:val="0"/>
          <w:numId w:val="3"/>
        </w:numPr>
        <w:spacing w:after="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Factibilidad Económica y Financiera:</w:t>
      </w:r>
      <w:r w:rsidDel="00000000" w:rsidR="00000000" w:rsidRPr="00000000">
        <w:rPr>
          <w:rFonts w:ascii="Times New Roman" w:cs="Times New Roman" w:eastAsia="Times New Roman" w:hAnsi="Times New Roman"/>
          <w:sz w:val="24"/>
          <w:szCs w:val="24"/>
          <w:rtl w:val="0"/>
        </w:rPr>
        <w:t xml:space="preserve"> Los indicadores financieros demuestran una rentabilidad sobresaliente y un retorno de inversión de recuperación acelerada. Con una inversión de desarrollo controlada de S/ 10,700.00, el proyecto genera un Valor Actual Neto (VAN) positivo de S/ 30,534.88, una Tasa Interna de Retorno (TIR) del 139.14% (muy superior al COK del 9%) y una relación Beneficio/Costo de 3.85, confirmando que la rentabilidad financiera es indiscutible.</w:t>
      </w:r>
      <w:r w:rsidDel="00000000" w:rsidR="00000000" w:rsidRPr="00000000">
        <w:rPr>
          <w:rtl w:val="0"/>
        </w:rPr>
      </w:r>
    </w:p>
    <w:p w:rsidR="00000000" w:rsidDel="00000000" w:rsidP="00000000" w:rsidRDefault="00000000" w:rsidRPr="00000000" w14:paraId="000001BF">
      <w:pPr>
        <w:numPr>
          <w:ilvl w:val="0"/>
          <w:numId w:val="3"/>
        </w:numPr>
        <w:spacing w:after="240" w:before="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Factibilidad Operativa, Legal y Social:</w:t>
      </w:r>
      <w:r w:rsidDel="00000000" w:rsidR="00000000" w:rsidRPr="00000000">
        <w:rPr>
          <w:rFonts w:ascii="Times New Roman" w:cs="Times New Roman" w:eastAsia="Times New Roman" w:hAnsi="Times New Roman"/>
          <w:sz w:val="24"/>
          <w:szCs w:val="24"/>
          <w:rtl w:val="0"/>
        </w:rPr>
        <w:t xml:space="preserve"> El sistema elimina las barreras de fricción operativa mediante un panel de administración dinámico y autónomo. Cumple estrictamente con la legislación nacional (Ley N.° 29733 de Protección de Datos Personales) al resguardar la identidad de los accesos B2B, y promueve un impacto socio-ambiental de "Cero Papel" a través de la digitalización de procesos de tracking. Finalmente, posiciona los productos premium de la región de Tacna bajo estándares globales competitivos multilingües (Español, Inglés y Portugués).</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-219074</wp:posOffset>
          </wp:positionV>
          <wp:extent cx="1967301" cy="557213"/>
          <wp:effectExtent b="0" l="0" r="0" t="0"/>
          <wp:wrapNone/>
          <wp:docPr id="2" name="image3.png"/>
          <a:graphic>
            <a:graphicData uri="http://schemas.openxmlformats.org/drawingml/2006/picture">
              <pic:pic>
                <pic:nvPicPr>
                  <pic:cNvPr id="0" name="image3.png"/>
                  <pic:cNvPicPr preferRelativeResize="0"/>
                </pic:nvPicPr>
                <pic:blipFill>
                  <a:blip r:embed="rId1"/>
                  <a:srcRect b="26144" l="0" r="0" t="22876"/>
                  <a:stretch>
                    <a:fillRect/>
                  </a:stretch>
                </pic:blipFill>
                <pic:spPr>
                  <a:xfrm>
                    <a:off x="0" y="0"/>
                    <a:ext cx="1967301" cy="5572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5124450</wp:posOffset>
          </wp:positionH>
          <wp:positionV relativeFrom="paragraph">
            <wp:posOffset>-333374</wp:posOffset>
          </wp:positionV>
          <wp:extent cx="684847" cy="675757"/>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4847" cy="67575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decimal"/>
      <w:lvlText w:val="%1."/>
      <w:lvlJc w:val="right"/>
      <w:pPr>
        <w:ind w:left="720" w:hanging="360"/>
      </w:pPr>
      <w:rPr>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240" w:before="240" w:line="360" w:lineRule="auto"/>
      <w:ind w:left="144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40" w:before="240" w:line="360" w:lineRule="auto"/>
      <w:ind w:left="2160" w:hanging="36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6oc9ZpaaD4vuQC5/3EZIfKz6w==">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