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9333EA"/>
          <w:sz w:val="48"/>
        </w:rPr>
        <w:t>🏛️ ESTRUTURA ORGANIZACIONAL ÓTIMA</w:t>
      </w:r>
    </w:p>
    <w:p>
      <w:pPr>
        <w:jc w:val="center"/>
      </w:pPr>
      <w:r>
        <w:rPr>
          <w:rFonts w:ascii="Calibri" w:hAnsi="Calibri"/>
          <w:b/>
          <w:i w:val="0"/>
          <w:color w:val="71717A"/>
          <w:sz w:val="22"/>
        </w:rPr>
        <w:t>Netfits Fidelidade Ltda. — Plano de Arquitetura Organizacional &amp; Governança Executiva</w:t>
        <w:br/>
        <w:t>CEO: André Gallo | Modelo Lean, B2B2C &amp; Capital-Efficient</w:t>
      </w:r>
    </w:p>
    <w:p/>
    <w:p>
      <w:pPr>
        <w:pStyle w:val="Heading1"/>
      </w:pPr>
      <w:r>
        <w:rPr>
          <w:rFonts w:ascii="Calibri" w:hAnsi="Calibri"/>
          <w:b/>
          <w:i w:val="0"/>
          <w:color w:val="9333EA"/>
          <w:sz w:val="32"/>
        </w:rPr>
        <w:t>1. Tese Organizacional &amp; Princípios Operacionais</w:t>
      </w:r>
    </w:p>
    <w:p>
      <w:r>
        <w:rPr>
          <w:rFonts w:ascii="Calibri" w:hAnsi="Calibri"/>
          <w:b w:val="0"/>
          <w:i w:val="0"/>
          <w:color w:val="18181B"/>
          <w:sz w:val="22"/>
        </w:rPr>
        <w:t>A Netfits Fidelidade Ltda. é desenhada sob um modelo organizacional Lean, altamente escalável e capital-efficient. Em vez de estrutura pesada com múltiplos níveis hierárquicos, a empresa opera ancorada em tecnologia serverless de baixo custo fixo, marketplace de afiliados com checkout externo credenciado e tração B2B2C via rede de Associados.</w:t>
      </w:r>
    </w:p>
    <w:p>
      <w:r>
        <w:rPr>
          <w:rFonts w:ascii="Calibri" w:hAnsi="Calibri"/>
          <w:b/>
          <w:i w:val="0"/>
          <w:color w:val="18181B"/>
          <w:sz w:val="22"/>
        </w:rPr>
        <w:t>A empresa é estruturada em torno de 5 Pilares Estratégicos principais: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1. Liderança Estratégica &amp; Alianças (CEO): </w:t>
      </w:r>
      <w:r>
        <w:rPr>
          <w:rFonts w:ascii="Calibri" w:hAnsi="Calibri"/>
          <w:b w:val="0"/>
          <w:i w:val="0"/>
          <w:color w:val="18181B"/>
          <w:sz w:val="22"/>
        </w:rPr>
        <w:t>Comandada por André Gallo, focada em visão, investidores (Seed R$ 4M-8M), bancos (Itaú, Livelo, C6, Santander) e grandes marcas.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2. Diretoria de Produto &amp; Tecnologia (CTO/CPO): </w:t>
      </w:r>
      <w:r>
        <w:rPr>
          <w:rFonts w:ascii="Calibri" w:hAnsi="Calibri"/>
          <w:b w:val="0"/>
          <w:i w:val="0"/>
          <w:color w:val="18181B"/>
          <w:sz w:val="22"/>
        </w:rPr>
        <w:t>App native-shell PWA, motor atuarial FEFO, postbacks de vendas, conectores de wearables (Garmin/Apple) e antifraude.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3. Diretoria de Growth, CRM &amp; Comunidade (Head of Growth): </w:t>
      </w:r>
      <w:r>
        <w:rPr>
          <w:rFonts w:ascii="Calibri" w:hAnsi="Calibri"/>
          <w:b w:val="0"/>
          <w:i w:val="0"/>
          <w:color w:val="18181B"/>
          <w:sz w:val="22"/>
        </w:rPr>
        <w:t>Aquisição com CAC &lt; R$ 18,50, Feed editorial curado, Member-Get-Member (MGM) e conversão para o Netfits Club (R$ 19,90/mês).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4. Diretoria de Parcerias &amp; Associados (Head de Parcerias): </w:t>
      </w:r>
      <w:r>
        <w:rPr>
          <w:rFonts w:ascii="Calibri" w:hAnsi="Calibri"/>
          <w:b w:val="0"/>
          <w:i w:val="0"/>
          <w:color w:val="18181B"/>
          <w:sz w:val="22"/>
        </w:rPr>
        <w:t>Expansão da Rede Única de Associados Netfits (10,0% comissão), onboarding de criadores/treinadores/médicos e Take Rate do Shop (8,0%).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5. Diretoria de Finanças &amp; Atuarial (CFO/Controller): </w:t>
      </w:r>
      <w:r>
        <w:rPr>
          <w:rFonts w:ascii="Calibri" w:hAnsi="Calibri"/>
          <w:b w:val="0"/>
          <w:i w:val="0"/>
          <w:color w:val="18181B"/>
          <w:sz w:val="22"/>
        </w:rPr>
        <w:t>Solidez atuarial dos pontos nfs (CPP R$ 0,02 / Resgate R$ 0,01), 100% de reserva do passivo retido em caixa (R$ 88.842,00) e compliance.</w:t>
      </w:r>
    </w:p>
    <w:p/>
    <w:p>
      <w:pPr>
        <w:pStyle w:val="Heading1"/>
      </w:pPr>
      <w:r>
        <w:rPr>
          <w:rFonts w:ascii="Calibri" w:hAnsi="Calibri"/>
          <w:b/>
          <w:i w:val="0"/>
          <w:color w:val="9333EA"/>
          <w:sz w:val="32"/>
        </w:rPr>
        <w:t>2. Organograma Executivo (Reporting Lines)</w:t>
      </w:r>
    </w:p>
    <w:p>
      <w:r>
        <w:rPr>
          <w:rFonts w:ascii="Calibri" w:hAnsi="Calibri"/>
          <w:b w:val="0"/>
          <w:i w:val="0"/>
          <w:color w:val="18181B"/>
          <w:sz w:val="22"/>
        </w:rPr>
        <w:t>O CEO (André Gallo) lidera diretamente 4 Diretores/Heads operacionais, garantindo velocidade na tomada de decisão e autonomia para a execução:</w:t>
      </w:r>
    </w:p>
    <w:p>
      <w:pPr>
        <w:pStyle w:val="ListBullet"/>
      </w:pPr>
      <w:r>
        <w:rPr>
          <w:rFonts w:ascii="Calibri" w:hAnsi="Calibri"/>
          <w:b/>
          <w:i w:val="0"/>
          <w:color w:val="9333EA"/>
          <w:sz w:val="22"/>
        </w:rPr>
        <w:t xml:space="preserve">CEO — André Gallo: </w:t>
      </w:r>
      <w:r>
        <w:rPr>
          <w:rFonts w:ascii="Calibri" w:hAnsi="Calibri"/>
          <w:b w:val="0"/>
          <w:i w:val="0"/>
          <w:color w:val="18181B"/>
          <w:sz w:val="22"/>
        </w:rPr>
        <w:t>Visão global, captação de recursos, conselho, alianças bancárias e grandes marcas.</w:t>
      </w:r>
    </w:p>
    <w:p>
      <w:pPr>
        <w:pStyle w:val="ListBullet"/>
      </w:pPr>
      <w:r>
        <w:rPr>
          <w:rFonts w:ascii="Calibri" w:hAnsi="Calibri"/>
          <w:b/>
          <w:i w:val="0"/>
          <w:color w:val="9333EA"/>
          <w:sz w:val="22"/>
        </w:rPr>
        <w:t xml:space="preserve">CTO / CPO: </w:t>
      </w:r>
      <w:r>
        <w:rPr>
          <w:rFonts w:ascii="Calibri" w:hAnsi="Calibri"/>
          <w:b w:val="0"/>
          <w:i w:val="0"/>
          <w:color w:val="18181B"/>
          <w:sz w:val="22"/>
        </w:rPr>
        <w:t>Subordinados: (1) Líder Fullstack/Mobile; (2) Engenheiro de Dados &amp; Antifraude.</w:t>
      </w:r>
    </w:p>
    <w:p>
      <w:pPr>
        <w:pStyle w:val="ListBullet"/>
      </w:pPr>
      <w:r>
        <w:rPr>
          <w:rFonts w:ascii="Calibri" w:hAnsi="Calibri"/>
          <w:b/>
          <w:i w:val="0"/>
          <w:color w:val="9333EA"/>
          <w:sz w:val="22"/>
        </w:rPr>
        <w:t xml:space="preserve">Head of Growth &amp; MKT: </w:t>
      </w:r>
      <w:r>
        <w:rPr>
          <w:rFonts w:ascii="Calibri" w:hAnsi="Calibri"/>
          <w:b w:val="0"/>
          <w:i w:val="0"/>
          <w:color w:val="18181B"/>
          <w:sz w:val="22"/>
        </w:rPr>
        <w:t>Subordinados: (1) Especialista em CRM &amp; Automação; (2) Editor de Conteúdo do Feed.</w:t>
      </w:r>
    </w:p>
    <w:p>
      <w:pPr>
        <w:pStyle w:val="ListBullet"/>
      </w:pPr>
      <w:r>
        <w:rPr>
          <w:rFonts w:ascii="Calibri" w:hAnsi="Calibri"/>
          <w:b/>
          <w:i w:val="0"/>
          <w:color w:val="9333EA"/>
          <w:sz w:val="22"/>
        </w:rPr>
        <w:t xml:space="preserve">Head de Parcerias &amp; B2B2C: </w:t>
      </w:r>
      <w:r>
        <w:rPr>
          <w:rFonts w:ascii="Calibri" w:hAnsi="Calibri"/>
          <w:b w:val="0"/>
          <w:i w:val="0"/>
          <w:color w:val="18181B"/>
          <w:sz w:val="22"/>
        </w:rPr>
        <w:t>Subordinados: (1) Coordenador de Onboarding de Associados; (2) Analista de Contas do Shop.</w:t>
      </w:r>
    </w:p>
    <w:p>
      <w:pPr>
        <w:pStyle w:val="ListBullet"/>
      </w:pPr>
      <w:r>
        <w:rPr>
          <w:rFonts w:ascii="Calibri" w:hAnsi="Calibri"/>
          <w:b/>
          <w:i w:val="0"/>
          <w:color w:val="9333EA"/>
          <w:sz w:val="22"/>
        </w:rPr>
        <w:t xml:space="preserve">CFO / Head de Finanças &amp; Atuarial: </w:t>
      </w:r>
      <w:r>
        <w:rPr>
          <w:rFonts w:ascii="Calibri" w:hAnsi="Calibri"/>
          <w:b w:val="0"/>
          <w:i w:val="0"/>
          <w:color w:val="18181B"/>
          <w:sz w:val="22"/>
        </w:rPr>
        <w:t>Subordinados: (1) Analista de Conciliação &amp; Risco Atuarial; (2) Analista de CX/Suporte.</w:t>
      </w:r>
    </w:p>
    <w:p/>
    <w:p>
      <w:pPr>
        <w:pStyle w:val="Heading1"/>
      </w:pPr>
      <w:r>
        <w:rPr>
          <w:rFonts w:ascii="Calibri" w:hAnsi="Calibri"/>
          <w:b/>
          <w:i w:val="0"/>
          <w:color w:val="9333EA"/>
          <w:sz w:val="32"/>
        </w:rPr>
        <w:t>3. Matriz de Headcount &amp; Faseamento de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de Maturação</w:t>
            </w:r>
          </w:p>
        </w:tc>
        <w:tc>
          <w:tcPr>
            <w:tcW w:type="dxa" w:w="2484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 Principal</w:t>
            </w:r>
          </w:p>
        </w:tc>
        <w:tc>
          <w:tcPr>
            <w:tcW w:type="dxa" w:w="2484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Tamanho do Time</w:t>
            </w:r>
          </w:p>
        </w:tc>
        <w:tc>
          <w:tcPr>
            <w:tcW w:type="dxa" w:w="2484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Foco Principais de Contratação</w:t>
            </w:r>
          </w:p>
        </w:tc>
      </w:tr>
      <w:tr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Fase 1: Launch &amp; Tração (0-12m)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Validar PMF, 50k usuários, R$ 15M GMV, motor FEFO.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6 a 8 Pessoas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CEO, CTO, Head Growth, Head Parcerias, Fullstack, CRM, Onboarding, CX.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Fase 2: Hábitos (12-24m)</w:t>
            </w:r>
          </w:p>
        </w:tc>
        <w:tc>
          <w:tcPr>
            <w:tcW w:type="dxa" w:w="248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Netfits Club R$ 19,90, conexão Strava/Garmin, 250k usuários.</w:t>
            </w:r>
          </w:p>
        </w:tc>
        <w:tc>
          <w:tcPr>
            <w:tcW w:type="dxa" w:w="248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12 a 16 Pessoas</w:t>
            </w:r>
          </w:p>
        </w:tc>
        <w:tc>
          <w:tcPr>
            <w:tcW w:type="dxa" w:w="248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+Devs Mobile/Data, +UX Designer, +Mídia Patrocinada, +Controller, +CX.</w:t>
            </w:r>
          </w:p>
        </w:tc>
      </w:tr>
      <w:tr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Fase 3: Longevidade (24-36m)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Serviços premium de healthspan, 1M usuários, LATAM.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25 a 35 Pessoas</w:t>
            </w:r>
          </w:p>
        </w:tc>
        <w:tc>
          <w:tcPr>
            <w:tcW w:type="dxa" w:w="2484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20"/>
              </w:rPr>
              <w:t>+Parcerias Clínicas/Médicas, +Data Scientists, +Expansão Internacional.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9333EA"/>
          <w:sz w:val="32"/>
        </w:rPr>
        <w:t>4. Governança Executiva &amp; Rituais de Gestão do CEO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Executive Weekly (Segundas-feiras, 9h): </w:t>
      </w:r>
      <w:r>
        <w:rPr>
          <w:rFonts w:ascii="Calibri" w:hAnsi="Calibri"/>
          <w:b w:val="0"/>
          <w:i w:val="0"/>
          <w:color w:val="18181B"/>
          <w:sz w:val="22"/>
        </w:rPr>
        <w:t>Acompanhamento das North Star Metrics: MAU, GMV do Shop, Pontos Emitidos vs Resgatados, Reserva em Caixa FEFO e Assinantes Club.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Reunião de Produto &amp; Antifraude (Bi-semanal): </w:t>
      </w:r>
      <w:r>
        <w:rPr>
          <w:rFonts w:ascii="Calibri" w:hAnsi="Calibri"/>
          <w:b w:val="0"/>
          <w:i w:val="0"/>
          <w:color w:val="18181B"/>
          <w:sz w:val="22"/>
        </w:rPr>
        <w:t>Validação do roadmap de entregas, velocidade das APIs de postback e auditoria de sinistralidade de pontos.</w:t>
      </w:r>
    </w:p>
    <w:p>
      <w:pPr>
        <w:pStyle w:val="ListBullet"/>
      </w:pPr>
      <w:r>
        <w:rPr>
          <w:rFonts w:ascii="Calibri" w:hAnsi="Calibri"/>
          <w:b/>
          <w:i w:val="0"/>
          <w:color w:val="18181B"/>
          <w:sz w:val="22"/>
        </w:rPr>
        <w:t xml:space="preserve">Conselho &amp; Investor Relations (Mensal): </w:t>
      </w:r>
      <w:r>
        <w:rPr>
          <w:rFonts w:ascii="Calibri" w:hAnsi="Calibri"/>
          <w:b w:val="0"/>
          <w:i w:val="0"/>
          <w:color w:val="18181B"/>
          <w:sz w:val="22"/>
        </w:rPr>
        <w:t>Apresentação da DRE proforma atualizada, margem EBITDA e avanço das parcerias bancárias.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