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7C3AED"/>
          <w:sz w:val="17"/>
        </w:rPr>
        <w:t>DOCUMENTO ESTRATÉGICO &amp; DIRETRIZES JURÍDICO-FINANCEIRAS · NETFITS LTDA.</w:t>
      </w:r>
    </w:p>
    <w:p>
      <w:pPr>
        <w:spacing w:after="80"/>
        <w:jc w:val="left"/>
      </w:pPr>
      <w:r>
        <w:rPr>
          <w:b/>
          <w:color w:val="18181B"/>
          <w:sz w:val="40"/>
        </w:rPr>
        <w:t>Salvaguardas e Garantias Contratuais do Programa de Associados</w:t>
      </w:r>
    </w:p>
    <w:p>
      <w:pPr>
        <w:spacing w:after="280"/>
        <w:jc w:val="left"/>
      </w:pPr>
      <w:r>
        <w:rPr>
          <w:i/>
          <w:color w:val="52525B"/>
          <w:sz w:val="23"/>
        </w:rPr>
        <w:t>Governança, Modelo de Revenue Share (10% da Receita Líquida da Carteira), Blindagem Antifraude e Compliance LGPD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4F4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F3F46"/>
                <w:sz w:val="18"/>
              </w:rPr>
              <w:t>Empresa: Netfits Ltda. (CNPJ em estruturação)</w:t>
            </w:r>
          </w:p>
        </w:tc>
        <w:tc>
          <w:tcPr>
            <w:tcW w:type="dxa" w:w="4896"/>
            <w:shd w:fill="F4F4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F3F46"/>
                <w:sz w:val="18"/>
              </w:rPr>
              <w:t>Data de Emissão: 01 de Setembro de 2026</w:t>
            </w:r>
          </w:p>
        </w:tc>
      </w:tr>
      <w:tr>
        <w:tc>
          <w:tcPr>
            <w:tcW w:type="dxa" w:w="4896"/>
            <w:shd w:fill="F4F4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F3F46"/>
                <w:sz w:val="18"/>
              </w:rPr>
              <w:t>Elaboração: André Gallo (Especialista em Loyalty &amp; Produto)</w:t>
            </w:r>
          </w:p>
        </w:tc>
        <w:tc>
          <w:tcPr>
            <w:tcW w:type="dxa" w:w="4896"/>
            <w:shd w:fill="F4F4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F3F46"/>
                <w:sz w:val="18"/>
              </w:rPr>
              <w:t>Finalidade: Base para Minuta Contratual / Parecer Jurídico B2B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4C1D95"/>
          <w:sz w:val="27"/>
        </w:rPr>
        <w:t>1. Sumário Executivo &amp; Racional do Modelo de Associados</w:t>
      </w:r>
    </w:p>
    <w:p>
      <w:r>
        <w:t xml:space="preserve">O Programa de Associados Netfits constitui um dos pilares mais estratégicos de aquisição orgânica e retenção da plataforma. Diferente de um programa de afiliados tradicional focado exclusivamente em comissão transacional pontual (one-off), a Netfits adota um modelo inovador de </w:t>
      </w:r>
      <w:r>
        <w:rPr>
          <w:b/>
        </w:rPr>
        <w:t>Revenue Share sobre a Carteira Ativa de Usuários</w:t>
      </w:r>
      <w:r>
        <w:t>, repassando 10% da receita líquida auferida pela companhia com os atletas captados e mantidos por cada associado (médicos do esporte, nutricionistas, treinadores, personal trainers e criadores de conteúdo esportivo).</w:t>
        <w:br/>
        <w:br/>
        <w:t>Para conferir perenidade, segurança financeira e evitar qualquer passivo societário, trabalhista ou de margem negativa, o instrumento contratual (Contrato de Parceria Comercial B2B e Termo de Adesão Digital) deve contemplar salvaguardas robustas de definição de base de cálculo, janela de estorno (clawback), mitigação de fraudes e compliance rigoroso com a LGPD.</w:t>
      </w:r>
    </w:p>
    <w:p>
      <w:pPr>
        <w:keepNext/>
        <w:spacing w:before="320" w:after="120"/>
      </w:pPr>
      <w:r>
        <w:rPr>
          <w:b/>
          <w:color w:val="4C1D95"/>
          <w:sz w:val="27"/>
        </w:rPr>
        <w:t>2. A Fórmula Inegociável da 'Receita Líquida Elegível' (Net Revenue vs. GMV)</w:t>
      </w:r>
    </w:p>
    <w:p>
      <w:r>
        <w:t xml:space="preserve">A salvaguarda mais fundamental de todo o programa é assegurar que a comissão de 10% incida estritamente sobre a </w:t>
      </w:r>
      <w:r>
        <w:rPr>
          <w:b/>
        </w:rPr>
        <w:t>Margem Líquida da Netfits (Take-Rate e Receitas Próprias)</w:t>
      </w:r>
      <w:r>
        <w:t>, e JAMAIS sobre o GMV (Gross Merchandise Value / Volume Bruto Transacionado de produtos de lojistas terceiros).</w:t>
        <w:br/>
        <w:br/>
        <w:t>A base de cálculo da Receita Líquida Elegível é apurada mensalmente pela seguinte fórmula matemática contratual: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5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C1D95"/>
                <w:sz w:val="20"/>
              </w:rPr>
              <w:t>📌 FÓRMULA DE APURAÇÃO DA RECEITA LÍQUIDA ELEGÍVEL</w:t>
              <w:br/>
            </w:r>
            <w:r>
              <w:rPr>
                <w:color w:val="27272A"/>
                <w:sz w:val="19"/>
              </w:rPr>
              <w:t>Receita Líquida Elegível = [Receitas Brutas da Carteira (Take-Rate de Marketplace + Ads + Assinaturas do Clube)]</w:t>
              <w:br/>
              <w:t xml:space="preserve">  (-) Impostos Diretos Incidentes (ISS, PIS, COFINS)</w:t>
              <w:br/>
              <w:t xml:space="preserve">  (-) Tarifas de Meios de Pagamento e Adquirência (PIX, Gateway de Cartão)</w:t>
              <w:br/>
              <w:t xml:space="preserve">  (-) Provisão Atuarial de Solvência FEFO de Pontos nfs Emitidos</w:t>
              <w:br/>
              <w:t xml:space="preserve">  (-) Cancelamentos, Devoluções e Estornos de Cartão (Chargebacks)</w:t>
              <w:br/>
              <w:br/>
              <w:t>Repasse ao Associado = 10,0% × Receita Líquida Elegível Apurada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8181B"/>
          <w:sz w:val="23"/>
        </w:rPr>
        <w:t>2.1. Demonstração Numérica Prática: GMV vs. Receita Líquida</w:t>
      </w:r>
    </w:p>
    <w:p>
      <w:r>
        <w:t>A tabela abaixo demonstra a aplicação prática da fórmula para uma compra de R$ 1.000,00 realizada no Netfits Shop por um atleta da carteira: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C1D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Linha de Demonstração Financeira</w:t>
            </w:r>
          </w:p>
        </w:tc>
        <w:tc>
          <w:tcPr>
            <w:tcW w:type="dxa" w:w="3312"/>
            <w:shd w:fill="4C1D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Valor (R$)</w:t>
            </w:r>
          </w:p>
        </w:tc>
        <w:tc>
          <w:tcPr>
            <w:tcW w:type="dxa" w:w="3312"/>
            <w:shd w:fill="4C1D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Observação / Critério de Governança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8"/>
              </w:rPr>
              <w:t>GMV do Produto Comprado no Shop (ex: Tênis com Placa)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8"/>
              </w:rPr>
              <w:t>R$ 1.000,00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8"/>
              </w:rPr>
              <w:t>Volume de mercadoria transacionado no e-commerce parceiro.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Receita Bruta Netfits (Take-Rate de 8,0%)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R$ 80,00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Comissão bruta retida pela Netfits junto ao seller parceiro.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8"/>
              </w:rPr>
              <w:t>(-) Deduções: Tributos (14,25%) + Gateway (2,5%) + Provisão nfs (R$ 20)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8"/>
              </w:rPr>
              <w:t>(-) R$ 33,40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8"/>
              </w:rPr>
              <w:t>Custos diretos, impostos municipais/federais e reserva atuarial.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(=) Receita Líquida Elegível Apurada pela Netfits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R$ 46,60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Base líquida real de margem auferida pela companhia.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ECFCCB"/>
          </w:tcPr>
          <w:p>
            <w:r>
              <w:rPr>
                <w:b/>
                <w:color w:val="365314"/>
                <w:sz w:val="18"/>
              </w:rPr>
              <w:t>(=) Repasse de 10,0% ao Associado Responsável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CFCCB"/>
          </w:tcPr>
          <w:p>
            <w:r>
              <w:rPr>
                <w:b/>
                <w:color w:val="365314"/>
                <w:sz w:val="18"/>
              </w:rPr>
              <w:t>R$ 4,66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ECFCCB"/>
          </w:tcPr>
          <w:p>
            <w:r>
              <w:rPr>
                <w:b/>
                <w:color w:val="365314"/>
                <w:sz w:val="18"/>
              </w:rPr>
              <w:t>10% sobre os R$ 46,60 (e NUNCA 10% sobre os R$ 1.000,00 de GMV).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4C1D95"/>
          <w:sz w:val="27"/>
        </w:rPr>
        <w:t>3. As 8 Salvaguardas e Cláusulas Contratuais Indispensáveis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1: Atribuição de Entrada (First-Touch) &amp; Não-Canibalização da Base Existente</w:t>
      </w:r>
    </w:p>
    <w:p>
      <w:pPr>
        <w:spacing w:after="120"/>
      </w:pPr>
      <w:r>
        <w:t>• Regra de Entrada: O vínculo do usuário à carteira do associado dá-se exclusivamente mediante o primeiro cadastro via referralCode ou link exclusivo.</w:t>
        <w:br/>
        <w:t>• Não-Canibalização: Usuários que já possuam conta previamente registrada na Netfits não poderão ser atribuídos à carteira de associados retroativamente.</w:t>
        <w:br/>
        <w:t>• Atribuição Única: Cada atleta pertence a uma única carteira de associado, vedada a duplicidade de vínculo.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2: Validade do Vínculo de Carteira &amp; Regra de Inatividade (Decay Rule)</w:t>
      </w:r>
    </w:p>
    <w:p>
      <w:pPr>
        <w:spacing w:after="120"/>
      </w:pPr>
      <w:r>
        <w:t>• Prazo de Vínculo: O comissionamento sobre a carteira tem vigência de 12 (doze) a 24 (vinte e quatro) meses contados da data de adesão de cada usuário, renovável mediante engajamento ativo.</w:t>
        <w:br/>
        <w:t>• Regra de Inatividade (Decay): Caso o associado permaneça inativo por mais de 90 (noventa) dias consecutivos sem atrair novos usuários ou sem interações comprovadas na comunidade, a Netfits poderá aplicar redução progressiva de 50% no repasse ou suspender a remuneração da carteira antiga até sua reativação oficial.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3: Janela de Carência (Hold Period de 30 a 45 dias) &amp; Cláusula de Estorno (Clawback)</w:t>
      </w:r>
    </w:p>
    <w:p>
      <w:pPr>
        <w:spacing w:after="120"/>
      </w:pPr>
      <w:r>
        <w:t>• Janela de Retenção: Todas as receitas geradas pela carteira no mês de referência permanecem em status 'Pendente' durante 30 a 45 dias para acomodar o prazo legal de arrependimento (Art. 49 do CDC) e eventuais disputas de cartão (chargebacks).</w:t>
        <w:br/>
        <w:t>• Direito de Clawback: Se uma compra ou assinatura for cancelada, estornada ou declarada fraudulenta após o pagamento da comissão, o respectivo valor será deduzido automaticamente dos créditos futuros do associado.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4: Blindagem Antifraude, Proibição de Brand Bidding e Self-Dealing</w:t>
      </w:r>
    </w:p>
    <w:p>
      <w:pPr>
        <w:spacing w:after="120"/>
      </w:pPr>
      <w:r>
        <w:t>• Proibição de Brand Bidding: Fica terminantemente proibida a compra de mídia paga (Google Ads, Meta Ads, TikTok) utilizando variações da marca 'Netfits', 'Pontos nfs' ou termos proprietários da empresa.</w:t>
        <w:br/>
        <w:t>• Vedação de Self-Dealing: É proibida a criação de contas artificiais (fantasmas), bots de visualização de vídeos/anúncios no feed e o uso de meios de pagamento do próprio associado para forjar receita na sua carteira.</w:t>
        <w:br/>
        <w:t>• Penalidade: O descumprimento enseja rescisão sumária, perda total de saldos acumulados e responsabilização civil/penal.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5: Condições de Payout, Piso Mínimo e Governança Fiscal (NFS-e / RPA)</w:t>
      </w:r>
    </w:p>
    <w:p>
      <w:pPr>
        <w:spacing w:after="120"/>
      </w:pPr>
      <w:r>
        <w:t>• Piso Mínimo: O resgate financeiro está sujeito a um saldo acumulado mínimo de R$ 100,00 (cem reais).</w:t>
        <w:br/>
        <w:t>• Exigência de Documento Fiscal: O repasse para Pessoa Jurídica (PJ) é condicionado à emissão prévia de Nota Fiscal Eletrônica de Serviços (NFS-e de intermediação comercial). Para Pessoa Física (PF), emissão de RPA com retenção obrigatória de INSS, IRRF e ISS na fonte.</w:t>
        <w:br/>
        <w:t>• Data de Payout: Repasses executados no dia 15 ou 20 do mês subsequente à conciliação contábil definitiva.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6: Defesa da Reputação da Marca, Ética Esportiva e Normas do CONAR</w:t>
      </w:r>
    </w:p>
    <w:p>
      <w:pPr>
        <w:spacing w:after="120"/>
      </w:pPr>
      <w:r>
        <w:t>• Morality Clause: O associado compromete-se a preservar a integridade da marca Netfits, abstendo-se de divulgar práticas de doping, anabolizantes ilícitos, falsas promessas médicas ou condutas que firam os códigos de ética profissionais (CFM, CRN, CREF, CREFITO).</w:t>
        <w:br/>
        <w:t>• Transparência Publicitária: Obrigatoriedade de sinalização explícita de conteúdo patrocinado (#publi, #parceironetfits) conforme diretrizes do CONAR.</w:t>
        <w:br/>
        <w:t>• Rescisão por Dano de Imagem: Direito da Netfits de extinguir a parceria unilateralmente em caso de conduta pública desonrosa.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7: Inexistência de Vínculo Trabalhista, Societário ou de Franquia</w:t>
      </w:r>
    </w:p>
    <w:p>
      <w:pPr>
        <w:spacing w:after="120"/>
      </w:pPr>
      <w:r>
        <w:t>• Natureza Estritamente Comercial B2B: A relação contratual é de prestação de serviços autônomos e intermediação mercantil, sem subordinação, habitualidade obrigatória, exclusividade ou controle de jornada sob a égide da CLT.</w:t>
        <w:br/>
        <w:t>• Sem Direitos Societários: O modelo de revenue share não confere qualquer participação societária, direito a voto ou ingerência na administração e governança da Netfits Ltda.</w:t>
      </w:r>
    </w:p>
    <w:p>
      <w:pPr>
        <w:keepNext/>
        <w:spacing w:before="240" w:after="80"/>
      </w:pPr>
      <w:r>
        <w:rPr>
          <w:b/>
          <w:color w:val="18181B"/>
          <w:sz w:val="23"/>
        </w:rPr>
        <w:t>Salvaguarda 8: Conformidade Estrita com a LGPD (Lei nº 13.709/2018) &amp; Dados Agregados</w:t>
      </w:r>
    </w:p>
    <w:p>
      <w:pPr>
        <w:spacing w:after="120"/>
      </w:pPr>
      <w:r>
        <w:t>• Dados Consolidados: O associado terá acesso no painel exclusivamente a métricas agregadas da carteira (volume de usuários ativos, GMV consolidado e comissão apurada).</w:t>
        <w:br/>
        <w:t>• Vedação de Acesso a Dados Pessoais Sensíveis: É expressamente vedado ao associado acessar registros médicos individualizados, telemetria clínica (frequência cardíaca, glicemia, GPS exato de treinos) ou CPFs dos atletas da sua carteira.</w:t>
      </w:r>
    </w:p>
    <w:p>
      <w:pPr>
        <w:keepNext/>
        <w:spacing w:before="320" w:after="120"/>
      </w:pPr>
      <w:r>
        <w:rPr>
          <w:b/>
          <w:color w:val="4C1D95"/>
          <w:sz w:val="27"/>
        </w:rPr>
        <w:t>4. Matriz de Riscos Operacionais vs. Mecanismos de Proteção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Risco Mapeado para a Netfits</w:t>
            </w:r>
          </w:p>
        </w:tc>
        <w:tc>
          <w:tcPr>
            <w:tcW w:type="dxa" w:w="3312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Impacto em Caso de Ocorrência</w:t>
            </w:r>
          </w:p>
        </w:tc>
        <w:tc>
          <w:tcPr>
            <w:tcW w:type="dxa" w:w="3312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Salvaguarda Contratual &amp; Controle Operacional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Interpretação errônea de 10% sobre o GMV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Margem negativa e prejuízo financeiro severo.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Cláusula 1: Fórmula estrita de Receita Líquida com deduções explícitas.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Cancelamento de compras pós-repasse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Perda de caixa por inadimplência de terceiros.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Cláusula 3: Janela de Hold de 30-45 dias + Cláusula de Clawback automático.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Associado comprando anúncios com a palavra Netfits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Canibalização de tráfego orgânico e aumento do CAC.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Cláusula 4: Proibição expressa de Brand Bidding com rescisão sumária.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Associado inativo que continua recebendo perpetuamente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Desalinhamento de incentivos e custo fixo sem tração.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Cláusula 2: Decay Rule (redução de 50% a 100% após 90 dias de inatividade).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Passivo trabalhista ou societário alegado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Risco de ações judiciais de vínculo empregatício.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  <w:shd w:fill="F4F4F5"/>
          </w:tcPr>
          <w:p>
            <w:r>
              <w:rPr>
                <w:sz w:val="17"/>
              </w:rPr>
              <w:t>Cláusula 7: Declaração de independência B2B, ausência de metas fixas e CLT.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Vazamento ou comercialização de dados de saúde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Sanções da ANPD e danos reputacionais irreparáveis.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Cláusula 8: Exibição estrita de dados anonimizados e agregados no painel.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4C1D95"/>
          <w:sz w:val="27"/>
        </w:rPr>
        <w:t>5. Ciclo de Vida Operacional do Repasse de Carteira</w:t>
      </w:r>
    </w:p>
    <w:p>
      <w:r>
        <w:t>Para assegurar transparência e conciliação atuarial em tempo real, o ciclo de vida do repasse ao associado segue quatro etapas automatizadas:</w:t>
        <w:br/>
        <w:br/>
        <w:t>1. Captação &amp; Atribuição: O atleta baixa o SuperApp via link/código do associado. O ID do atleta é associado unicamente ao ID do parceiro no banco de dados.</w:t>
        <w:br/>
        <w:t>2. Evento Gerador de Receita: O atleta realiza compras no Shop, assiste vídeos patrocinados ou assina o Clube. O sistema calcula a Receita Líquida gerada.</w:t>
        <w:br/>
        <w:t>3. Janela de Conciliação (Hold 30 dias): O Agente Contábil de IA valida o fim do prazo de arrependimento e deduz eventuais estornos/impostos.</w:t>
        <w:br/>
        <w:t>4. Emissão Fiscal &amp; Liquidação via PIX: O associado emite a NFS-e correspondente e recebe o repasse líquido diretamente em conta bancária cadastrada.</w:t>
      </w:r>
    </w:p>
    <w:p>
      <w:pPr>
        <w:keepNext/>
        <w:spacing w:before="320" w:after="120"/>
      </w:pPr>
      <w:r>
        <w:rPr>
          <w:b/>
          <w:color w:val="4C1D95"/>
          <w:sz w:val="27"/>
        </w:rPr>
        <w:t>6. Conclusão e Recomendações Finais para a Minuta Definitiva</w:t>
      </w:r>
    </w:p>
    <w:p>
      <w:r>
        <w:t>A adoção integral destas 8 salvaguardas confere ao modelo de associados da Netfits um padrão institucional de classe mundial, alinhando perfeitamente a remuneração dos influenciadores e prescritores de saúde ao crescimento real e sustentável da companhia.</w:t>
        <w:br/>
        <w:br/>
        <w:t>Recomenda-se que o departamento jurídico utilize este documento como anexo orientador para a redação do Contrato de Afiliação B2B e do Termo de Aceite Eletrônico (Clickwrap) a ser assinado digitalmente no momento do credenciamento na plataforma Netfits.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72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