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</w:tcPr>
          <w:p>
            <w:pPr>
              <w:spacing w:before="0" w:after="40"/>
            </w:pPr>
            <w:r>
              <w:rPr>
                <w:rFonts w:ascii="Arial Black" w:hAnsi="Arial Black"/>
                <w:color w:val="10B981"/>
                <w:sz w:val="40"/>
              </w:rPr>
              <w:t>NETFITS</w:t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ESTUDO ESTRATÉGICO DE CUSTOS DE TECNOLOGIA &amp; FINOPS (2026 - 2030)</w:t>
              <w:br/>
            </w:r>
            <w:r>
              <w:rPr>
                <w:rFonts w:ascii="Arial" w:hAnsi="Arial"/>
                <w:color w:val="64748B"/>
                <w:sz w:val="17"/>
              </w:rPr>
              <w:t>Modelagem Plurianual (51 Meses), Google Cloud Startup Program &amp; Idempotência</w:t>
            </w:r>
          </w:p>
        </w:tc>
        <w:tc>
          <w:tcPr>
            <w:tcW w:type="dxa" w:w="3312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475569"/>
                <w:sz w:val="16"/>
              </w:rPr>
              <w:t>DATA: 07/10/2026</w:t>
              <w:br/>
              <w:t>VERSÃO: 2.0 ATUALIZADA</w:t>
              <w:br/>
              <w:t>HORIZONTE: 2026-2030</w:t>
              <w:br/>
              <w:t>STATUS: HOMOLOGADO</w:t>
            </w:r>
          </w:p>
        </w:tc>
      </w:tr>
    </w:tbl>
    <w:p>
      <w:pPr>
        <w:spacing w:before="120" w:after="20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Arial" w:hAnsi="Arial"/>
          <w:b/>
          <w:color w:val="10B981"/>
          <w:sz w:val="19"/>
        </w:rPr>
        <w:t xml:space="preserve">[KPIS] </w:t>
      </w:r>
      <w:r>
        <w:rPr>
          <w:rFonts w:ascii="Arial Black" w:hAnsi="Arial Black"/>
          <w:color w:val="0F172A"/>
          <w:sz w:val="22"/>
        </w:rPr>
        <w:t>SUMÁRIO DOS PRINCIPAIS INDICADORES (KPIS FINOPS)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• Horizonte Operacional: </w:t>
            </w:r>
            <w:r>
              <w:rPr>
                <w:rFonts w:ascii="Arial" w:hAnsi="Arial"/>
                <w:b w:val="0"/>
                <w:color w:val="334155"/>
                <w:sz w:val="17"/>
              </w:rPr>
              <w:t>51 Meses (Out/2026 a Dez/2030) com modelagem mês a mês.</w:t>
              <w:br/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• Usuários Cadastrados no Pico (Dez/30): </w:t>
            </w:r>
            <w:r>
              <w:rPr>
                <w:rFonts w:ascii="Arial" w:hAnsi="Arial"/>
                <w:b w:val="0"/>
                <w:color w:val="334155"/>
                <w:sz w:val="17"/>
              </w:rPr>
              <w:t>3.000.000 de atletas cadastrados com identificadores singulares.</w:t>
              <w:br/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• Usuários Ativos Mensais (MAU) no Pico: </w:t>
            </w:r>
            <w:r>
              <w:rPr>
                <w:rFonts w:ascii="Arial" w:hAnsi="Arial"/>
                <w:b w:val="0"/>
                <w:color w:val="334155"/>
                <w:sz w:val="17"/>
              </w:rPr>
              <w:t>480.000 MAU ativos recorrentes gerando eventos esportivos e compras.</w:t>
              <w:br/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• Receita Bruta Total Acumulada no Período: </w:t>
            </w:r>
            <w:r>
              <w:rPr>
                <w:rFonts w:ascii="Arial" w:hAnsi="Arial"/>
                <w:b w:val="0"/>
                <w:color w:val="334155"/>
                <w:sz w:val="17"/>
              </w:rPr>
              <w:t>R$ 338.450.419,00 projetados nos 51 meses de operação.</w:t>
              <w:br/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• Investimento Total em Tecnologia &amp; FinOps (51M): </w:t>
            </w:r>
            <w:r>
              <w:rPr>
                <w:rFonts w:ascii="Arial" w:hAnsi="Arial"/>
                <w:b/>
                <w:color w:val="0F172A"/>
                <w:sz w:val="17"/>
              </w:rPr>
              <w:t>R$ 1.525.336,57 (Média mensal de R$ 29.908,56 / mês).</w:t>
              <w:br/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• Peso Médio de Tecnologia sobre a Receita Bruta: </w:t>
            </w:r>
            <w:r>
              <w:rPr>
                <w:rFonts w:ascii="Arial" w:hAnsi="Arial"/>
                <w:b/>
                <w:color w:val="16A34A"/>
                <w:sz w:val="17"/>
              </w:rPr>
              <w:t>0,45% (Benchmark internacional de startups do percentil 99% de eficiência).</w:t>
              <w:br/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• Custo Unitário por Usuário Ativo na Maturidade: </w:t>
            </w:r>
            <w:r>
              <w:rPr>
                <w:rFonts w:ascii="Arial" w:hAnsi="Arial"/>
                <w:b w:val="0"/>
                <w:color w:val="334155"/>
                <w:sz w:val="17"/>
              </w:rPr>
              <w:t>R$ 0,088 / mês por atleta ativo no pico de escala.</w:t>
              <w:br/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• Subsídio Estratégico Google Cloud Startup Program: </w:t>
            </w:r>
            <w:r>
              <w:rPr>
                <w:rFonts w:ascii="Arial" w:hAnsi="Arial"/>
                <w:b/>
                <w:color w:val="2563EB"/>
                <w:sz w:val="17"/>
              </w:rPr>
              <w:t>Até US$ 200.000 (R$ 1,1 Milhão) em créditos de nuvem e IA cobrindo o arranque.</w:t>
              <w:br/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• Economia Operacional Gerada por FinOps &amp; IA: </w:t>
            </w:r>
            <w:r>
              <w:rPr>
                <w:rFonts w:ascii="Arial" w:hAnsi="Arial"/>
                <w:b/>
                <w:color w:val="16A34A"/>
                <w:sz w:val="17"/>
              </w:rPr>
              <w:t>Superior a R$ 8.500.000,00 quando comparado ao modelo corporativo tradicional.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2563EB"/>
          <w:sz w:val="19"/>
        </w:rPr>
        <w:t xml:space="preserve">[AUDITORIA] </w:t>
      </w:r>
      <w:r>
        <w:rPr>
          <w:rFonts w:ascii="Arial Black" w:hAnsi="Arial Black"/>
          <w:color w:val="0F172A"/>
          <w:sz w:val="22"/>
        </w:rPr>
        <w:t>1. AUDITORIA CONCLUÍDA: CORREÇÃO DEFINITIVA DA DRE DE DEZEMBRO/2030</w:t>
      </w:r>
    </w:p>
    <w:p>
      <w:pPr>
        <w:spacing w:after="80" w:line="276" w:lineRule="auto"/>
      </w:pPr>
      <w:r>
        <w:rPr>
          <w:rFonts w:ascii="Arial" w:hAnsi="Arial"/>
          <w:color w:val="334155"/>
          <w:sz w:val="17"/>
        </w:rPr>
        <w:t>A auditoria de integridade das planilhas financeiras confirmou e solucionou o erro histórico de fórmula em Dezembro de 2030 (coluna 55), onde constava a soma cumulativa dos 50 meses anteriores. O custo mensal real de tecnologia em Dezembro/2030 é de apenas R$ 44.251,88, representando meros 0,38% da receita bruta mensal do período (R$ 11,5 Milhões/mês). O total de R$ 1,52 Milhão representa a totalidade dos 51 meses operacionais acumulados da Netfits.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19"/>
        </w:rPr>
        <w:t xml:space="preserve">[FINOPS] </w:t>
      </w:r>
      <w:r>
        <w:rPr>
          <w:rFonts w:ascii="Arial Black" w:hAnsi="Arial Black"/>
          <w:color w:val="0F172A"/>
          <w:sz w:val="22"/>
        </w:rPr>
        <w:t>2. MATRIZ FINANCEIRA CONSOLIDADA POR EXERCÍCIO SOCIAL (2026 - 2030)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3024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Família FinOps</w:t>
            </w:r>
          </w:p>
        </w:tc>
        <w:tc>
          <w:tcPr>
            <w:tcW w:type="dxa" w:w="1008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2026</w:t>
            </w:r>
          </w:p>
        </w:tc>
        <w:tc>
          <w:tcPr>
            <w:tcW w:type="dxa" w:w="115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2027</w:t>
            </w:r>
          </w:p>
        </w:tc>
        <w:tc>
          <w:tcPr>
            <w:tcW w:type="dxa" w:w="115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2028</w:t>
            </w:r>
          </w:p>
        </w:tc>
        <w:tc>
          <w:tcPr>
            <w:tcW w:type="dxa" w:w="115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2029</w:t>
            </w:r>
          </w:p>
        </w:tc>
        <w:tc>
          <w:tcPr>
            <w:tcW w:type="dxa" w:w="115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2030</w:t>
            </w:r>
          </w:p>
        </w:tc>
        <w:tc>
          <w:tcPr>
            <w:tcW w:type="dxa" w:w="1224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TOTAL (51M)</w:t>
            </w:r>
          </w:p>
        </w:tc>
        <w:tc>
          <w:tcPr>
            <w:tcW w:type="dxa" w:w="79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% TI</w:t>
            </w:r>
          </w:p>
        </w:tc>
      </w:tr>
      <w:tr>
        <w:tc>
          <w:tcPr>
            <w:tcW w:type="dxa" w:w="30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1. Agentes IA (Gemini 2.5)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R$ 928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R$ 19.298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R$ 28.541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R$ 32.654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R$ 36.383</w:t>
            </w:r>
          </w:p>
        </w:tc>
        <w:tc>
          <w:tcPr>
            <w:tcW w:type="dxa" w:w="12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5"/>
              </w:rPr>
              <w:t>R$ 117.805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7,7%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2. Infra Cloud (Cloud Run/Edge)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R$ 2.633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R$ 85.911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R$ 142.637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R$ 170.503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R$ 196.783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5"/>
              </w:rPr>
              <w:t>R$ 598.467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39,2%</w:t>
            </w:r>
          </w:p>
        </w:tc>
      </w:tr>
      <w:tr>
        <w:tc>
          <w:tcPr>
            <w:tcW w:type="dxa" w:w="30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3. Dados, Ledger &amp; Analytics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R$ 2.122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R$ 71.774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R$ 120.214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R$ 144.181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R$ 166.848</w:t>
            </w:r>
          </w:p>
        </w:tc>
        <w:tc>
          <w:tcPr>
            <w:tcW w:type="dxa" w:w="12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5"/>
              </w:rPr>
              <w:t>R$ 505.140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33,1%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4. CRM, Mensageria &amp; Push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R$ 615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R$ 23.140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R$ 39.858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R$ 48.333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R$ 56.429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5"/>
              </w:rPr>
              <w:t>R$ 168.374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11,0%</w:t>
            </w:r>
          </w:p>
        </w:tc>
      </w:tr>
      <w:tr>
        <w:tc>
          <w:tcPr>
            <w:tcW w:type="dxa" w:w="30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5. Segurança, Observab. &amp; WAF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R$ 564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R$ 19.216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R$ 32.247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R$ 38.706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R$ 44.818</w:t>
            </w:r>
          </w:p>
        </w:tc>
        <w:tc>
          <w:tcPr>
            <w:tcW w:type="dxa" w:w="12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5"/>
              </w:rPr>
              <w:t>R$ 135.551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8,9%</w:t>
            </w:r>
          </w:p>
        </w:tc>
      </w:tr>
      <w:tr>
        <w:tc>
          <w:tcPr>
            <w:tcW w:type="dxa" w:w="3024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TOTAL OPEX TECNOLOGIA</w:t>
            </w:r>
          </w:p>
        </w:tc>
        <w:tc>
          <w:tcPr>
            <w:tcW w:type="dxa" w:w="1008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R$ 6.862</w:t>
            </w:r>
          </w:p>
        </w:tc>
        <w:tc>
          <w:tcPr>
            <w:tcW w:type="dxa" w:w="1152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R$ 219.339</w:t>
            </w:r>
          </w:p>
        </w:tc>
        <w:tc>
          <w:tcPr>
            <w:tcW w:type="dxa" w:w="1152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R$ 363.497</w:t>
            </w:r>
          </w:p>
        </w:tc>
        <w:tc>
          <w:tcPr>
            <w:tcW w:type="dxa" w:w="1152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R$ 434.377</w:t>
            </w:r>
          </w:p>
        </w:tc>
        <w:tc>
          <w:tcPr>
            <w:tcW w:type="dxa" w:w="1152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R$ 501.262</w:t>
            </w:r>
          </w:p>
        </w:tc>
        <w:tc>
          <w:tcPr>
            <w:tcW w:type="dxa" w:w="1224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R$ 1.525.337</w:t>
            </w:r>
          </w:p>
        </w:tc>
        <w:tc>
          <w:tcPr>
            <w:tcW w:type="dxa" w:w="792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100%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2563EB"/>
          <w:sz w:val="19"/>
        </w:rPr>
        <w:t xml:space="preserve">[GOOGLE CLOUD] </w:t>
      </w:r>
      <w:r>
        <w:rPr>
          <w:rFonts w:ascii="Arial Black" w:hAnsi="Arial Black"/>
          <w:color w:val="0F172A"/>
          <w:sz w:val="22"/>
        </w:rPr>
        <w:t>3. O IMPACTO ESTRATÉGICO DO GOOGLE CLOUD STARTUP PROGRAM (2026-2027)</w:t>
      </w:r>
    </w:p>
    <w:p>
      <w:pPr>
        <w:spacing w:after="80" w:line="276" w:lineRule="auto"/>
      </w:pPr>
      <w:r>
        <w:rPr>
          <w:rFonts w:ascii="Arial" w:hAnsi="Arial"/>
          <w:color w:val="334155"/>
          <w:sz w:val="17"/>
        </w:rPr>
        <w:t>Como participante oficial do Google Cloud Startup Program, a Netfits possui acesso a um pacote de subsídios de até US$ 200.000 (aproximadamente R$ 1.100.000,00) em créditos de computação, banco de dados (Cloud SQL/AlloyDB), BigQuery e modelos Vertex AI/Gemini. Isso produz dois efeitos estratégicos imediatos:</w:t>
        <w:br/>
        <w:t>1. Desembolso Efetivo de Caixa Praticamente Zero em 2026 e 2027: O consumo projetado de R$ 6.861,94 (2026) e R$ 219.338,57 (2027) será integralmente compensado pelos créditos de aceleração, preservando 100% da liquidez de capital de giro.</w:t>
        <w:br/>
        <w:t>2. Homologação Arquitetural de Missão Crítica: Todos os serviços foram projetados para operar nativamente nas melhores práticas do Google Cloud (Cloud Run sem servidores ociosos, VPC segura e autenticação em tempo constante).</w:t>
      </w:r>
    </w:p>
    <w:p>
      <w:pPr>
        <w:keepNext/>
        <w:spacing w:before="280" w:after="80"/>
      </w:pPr>
      <w:r>
        <w:rPr>
          <w:rFonts w:ascii="Arial" w:hAnsi="Arial"/>
          <w:b/>
          <w:color w:val="7C3AED"/>
          <w:sz w:val="19"/>
        </w:rPr>
        <w:t xml:space="preserve">[ENGENHARIA] </w:t>
      </w:r>
      <w:r>
        <w:rPr>
          <w:rFonts w:ascii="Arial Black" w:hAnsi="Arial Black"/>
          <w:color w:val="0F172A"/>
          <w:sz w:val="22"/>
        </w:rPr>
        <w:t>4. BLINDAGEM DE PASSIVO ATUARIAL, ANTIFRAUDE &amp; IDEMPOTÊNCIA DE WEBHOOKS</w:t>
      </w:r>
    </w:p>
    <w:p>
      <w:pPr>
        <w:spacing w:before="40" w:after="40"/>
      </w:pPr>
      <w:r>
        <w:rPr>
          <w:rFonts w:ascii="Arial" w:hAnsi="Arial"/>
          <w:b/>
          <w:color w:val="0F172A"/>
          <w:sz w:val="16"/>
        </w:rPr>
        <w:t xml:space="preserve">A. Idempotência Criptográfica de Webhooks Rock/MKPlace (/api/orders): </w:t>
      </w:r>
      <w:r>
        <w:rPr>
          <w:rFonts w:ascii="Arial" w:hAnsi="Arial"/>
          <w:color w:val="475569"/>
          <w:sz w:val="16"/>
        </w:rPr>
        <w:t>O mecanismo de upsert idempotente por _id de pedido com detecção de replay (isReplay) garante que reenvios de eventos de status (order_created, payment_approved, invoiced, delivered) consumam zero operações desnecessárias de banco e impeçam estritamente o crédito de cashback em duplicidade, eliminando riscos de vazamento contábil.</w:t>
      </w:r>
    </w:p>
    <w:p>
      <w:pPr>
        <w:spacing w:before="40" w:after="40"/>
      </w:pPr>
      <w:r>
        <w:rPr>
          <w:rFonts w:ascii="Arial" w:hAnsi="Arial"/>
          <w:b/>
          <w:color w:val="0F172A"/>
          <w:sz w:val="16"/>
        </w:rPr>
        <w:t xml:space="preserve">B. Teto Operacional de Badges em 50 NFs &amp; Blindagem Atuarial (CPC 30 / IFRS 15): </w:t>
      </w:r>
      <w:r>
        <w:rPr>
          <w:rFonts w:ascii="Arial" w:hAnsi="Arial"/>
          <w:color w:val="475569"/>
          <w:sz w:val="16"/>
        </w:rPr>
        <w:t>A recalibração uniforme de todas as recompensas de conquistas para o teto de 50 NFs previne a inflação do passivo circulante de pontos. No modelo anterior, bonificações de até 1.080 NFs expunham a empresa a passivos imprevisíveis; o teto atual assegura estabilidade atuarial perfeita e margem operacional blindada.</w:t>
      </w:r>
    </w:p>
    <w:p>
      <w:pPr>
        <w:spacing w:before="40" w:after="40"/>
      </w:pPr>
      <w:r>
        <w:rPr>
          <w:rFonts w:ascii="Arial" w:hAnsi="Arial"/>
          <w:b/>
          <w:color w:val="0F172A"/>
          <w:sz w:val="16"/>
        </w:rPr>
        <w:t xml:space="preserve">C. Motor Antifraude de Dwell Time e Retenção de Vídeos (feed-antifraud.ts): </w:t>
      </w:r>
      <w:r>
        <w:rPr>
          <w:rFonts w:ascii="Arial" w:hAnsi="Arial"/>
          <w:color w:val="475569"/>
          <w:sz w:val="16"/>
        </w:rPr>
        <w:t>Exigência auditada de permanência mínima em leituras de artigos e retenção de 90%+ em vídeos elimina o risco de farm automatizado por scripts ou robôs, garantindo que cada ponto emitido corresponda a engajamento real e qualificado.</w:t>
      </w:r>
    </w:p>
    <w:p>
      <w:pPr>
        <w:spacing w:before="40" w:after="40"/>
      </w:pPr>
      <w:r>
        <w:rPr>
          <w:rFonts w:ascii="Arial" w:hAnsi="Arial"/>
          <w:b/>
          <w:color w:val="0F172A"/>
          <w:sz w:val="16"/>
        </w:rPr>
        <w:t xml:space="preserve">D. Suspensão Temporária de Comissões Recorrentes MGM sobre Compras: </w:t>
      </w:r>
      <w:r>
        <w:rPr>
          <w:rFonts w:ascii="Arial" w:hAnsi="Arial"/>
          <w:color w:val="475569"/>
          <w:sz w:val="16"/>
        </w:rPr>
        <w:t>Manutenção estrita apenas do incentivo de conversão inicial (50 NFs por novo usuário). A suspensão de comissões recorrentes sobre compras de indicados até o lançamento do clube de assinantes pago protege o unit economics inicial da plataforma.</w:t>
      </w:r>
    </w:p>
    <w:p>
      <w:pPr>
        <w:keepNext/>
        <w:spacing w:before="280" w:after="80"/>
      </w:pPr>
      <w:r>
        <w:rPr>
          <w:rFonts w:ascii="Arial" w:hAnsi="Arial"/>
          <w:b/>
          <w:color w:val="EA580C"/>
          <w:sz w:val="19"/>
        </w:rPr>
        <w:t xml:space="preserve">[UNIT ECONOMICS] </w:t>
      </w:r>
      <w:r>
        <w:rPr>
          <w:rFonts w:ascii="Arial Black" w:hAnsi="Arial Black"/>
          <w:color w:val="0F172A"/>
          <w:sz w:val="22"/>
        </w:rPr>
        <w:t>5. UNIT ECONOMICS: EVOLUÇÃO DO CUSTO POR USUÁRIO ATIVO (COST PER MAU)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28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Exercício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Cadastrados</w:t>
            </w:r>
          </w:p>
        </w:tc>
        <w:tc>
          <w:tcPr>
            <w:tcW w:type="dxa" w:w="1728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MAU Ativo</w:t>
            </w:r>
          </w:p>
        </w:tc>
        <w:tc>
          <w:tcPr>
            <w:tcW w:type="dxa" w:w="1728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Custo Médio/mês</w:t>
            </w:r>
          </w:p>
        </w:tc>
        <w:tc>
          <w:tcPr>
            <w:tcW w:type="dxa" w:w="1584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Custo/MAU/mês</w:t>
            </w:r>
          </w:p>
        </w:tc>
        <w:tc>
          <w:tcPr>
            <w:tcW w:type="dxa" w:w="1440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% Rec. Bruta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2026 (3m)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35.000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5.600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R$ 2.287,31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5"/>
              </w:rPr>
              <w:t>R$ 0,408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1,52%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2027 (12m)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550.000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88.000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R$ 18.278,21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5"/>
              </w:rPr>
              <w:t>R$ 0,208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0,74%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2028 (12m)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1.500.000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240.000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R$ 30.291,42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5"/>
              </w:rPr>
              <w:t>R$ 0,126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0,49%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2029 (12m)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2.400.000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384.000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R$ 36.198,05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5"/>
              </w:rPr>
              <w:t>R$ 0,094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0,42%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2030 (12m)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3.000.000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480.000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R$ 41.771,87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5"/>
              </w:rPr>
              <w:t>R$ 0,088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0,38%</w:t>
            </w:r>
          </w:p>
        </w:tc>
      </w:tr>
      <w:tr>
        <w:tc>
          <w:tcPr>
            <w:tcW w:type="dxa" w:w="1728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MÉDIA (51M)</w:t>
            </w:r>
          </w:p>
        </w:tc>
        <w:tc>
          <w:tcPr>
            <w:tcW w:type="dxa" w:w="1872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1.800.000</w:t>
            </w:r>
          </w:p>
        </w:tc>
        <w:tc>
          <w:tcPr>
            <w:tcW w:type="dxa" w:w="1728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288.000</w:t>
            </w:r>
          </w:p>
        </w:tc>
        <w:tc>
          <w:tcPr>
            <w:tcW w:type="dxa" w:w="1728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R$ 29.908,56</w:t>
            </w:r>
          </w:p>
        </w:tc>
        <w:tc>
          <w:tcPr>
            <w:tcW w:type="dxa" w:w="1584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R$ 0,104</w:t>
            </w:r>
          </w:p>
        </w:tc>
        <w:tc>
          <w:tcPr>
            <w:tcW w:type="dxa" w:w="1440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5"/>
              </w:rPr>
              <w:t>0,45%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6A34A"/>
          <w:sz w:val="19"/>
        </w:rPr>
        <w:t xml:space="preserve">[ROI] </w:t>
      </w:r>
      <w:r>
        <w:rPr>
          <w:rFonts w:ascii="Arial Black" w:hAnsi="Arial Black"/>
          <w:color w:val="0F172A"/>
          <w:sz w:val="22"/>
        </w:rPr>
        <w:t>6. MATRIZ CONSOLIDADA DE ECONOMIA FINOPS (R$ 8,54 MILHÕES ACUMULADOS)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Alavanca de Otimização FinOps</w:t>
            </w:r>
          </w:p>
        </w:tc>
        <w:tc>
          <w:tcPr>
            <w:tcW w:type="dxa" w:w="2304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Custo Tradicional</w:t>
            </w:r>
          </w:p>
        </w:tc>
        <w:tc>
          <w:tcPr>
            <w:tcW w:type="dxa" w:w="2160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Custo Netfits</w:t>
            </w:r>
          </w:p>
        </w:tc>
        <w:tc>
          <w:tcPr>
            <w:tcW w:type="dxa" w:w="2160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Economia Gerada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Squad IA vs. Equipe Humana (17 pessoas)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R$ 6.079.200,00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R$ 117.804,58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5"/>
              </w:rPr>
              <w:t>R$ 5.961.395,42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Google Cloud Startup Program (Créditos)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R$ 1.100.000,00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R$ 0,00 (subsidiado)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5"/>
              </w:rPr>
              <w:t>R$ 1.100.000,00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Cloud Run CUDs 3y + Edge Caching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R$ 1.196.934,00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R$ 598.467,00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5"/>
              </w:rPr>
              <w:t>R$ 598.467,00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PgBouncer + Upstash Redis Serverless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R$ 1.010.279,54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R$ 505.139,77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5"/>
              </w:rPr>
              <w:t>R$ 505.139,77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Push-First (FCM Grátis) vs. WhatsApp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R$ 362.000,00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R$ 168.374,33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5"/>
              </w:rPr>
              <w:t>R$ 193.625,67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Amostragem OpenTelemetry 20% vs APM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R$ 320.318,00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5"/>
              </w:rPr>
              <w:t>R$ 135.550,89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5"/>
              </w:rPr>
              <w:t>R$ 184.767,11</w:t>
            </w:r>
          </w:p>
        </w:tc>
      </w:tr>
    </w:tbl>
    <w:p>
      <w:pPr>
        <w:spacing w:before="120" w:after="120"/>
      </w:pPr>
      <w:r>
        <w:rPr>
          <w:rFonts w:ascii="Arial Black" w:hAnsi="Arial Black"/>
          <w:color w:val="166534"/>
          <w:sz w:val="17"/>
        </w:rPr>
        <w:t>ECONOMIA TOTAL ACUMULADA FINOPS: R$ 8.543.395,42 (84,8% de redução de custo operacional)</w:t>
      </w:r>
    </w:p>
    <w:p>
      <w:pPr>
        <w:spacing w:before="160" w:after="2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</w:tcPr>
          <w:p>
            <w:r>
              <w:rPr>
                <w:color w:val="94A3B8"/>
              </w:rPr>
              <w:t>_________________________________________</w:t>
              <w:br/>
            </w:r>
            <w:r>
              <w:rPr>
                <w:rFonts w:ascii="Arial" w:hAnsi="Arial"/>
                <w:b/>
                <w:color w:val="0F172A"/>
                <w:sz w:val="17"/>
              </w:rPr>
              <w:t>André Gallo</w:t>
              <w:br/>
            </w:r>
            <w:r>
              <w:rPr>
                <w:rFonts w:ascii="Arial" w:hAnsi="Arial"/>
                <w:color w:val="64748B"/>
                <w:sz w:val="15"/>
              </w:rPr>
              <w:t>Diretor Executivo &amp; Fundador — Netfits Ltda.</w:t>
              <w:br/>
              <w:t>CNPJ: 68.930.455/0001-40</w:t>
            </w:r>
          </w:p>
        </w:tc>
        <w:tc>
          <w:tcPr>
            <w:tcW w:type="dxa" w:w="5040"/>
          </w:tcPr>
          <w:p>
            <w:r>
              <w:rPr>
                <w:color w:val="94A3B8"/>
              </w:rPr>
              <w:t>_________________________________________</w:t>
              <w:br/>
            </w:r>
            <w:r>
              <w:rPr>
                <w:rFonts w:ascii="Arial" w:hAnsi="Arial"/>
                <w:b/>
                <w:color w:val="0F172A"/>
                <w:sz w:val="17"/>
              </w:rPr>
              <w:t>Engenharia de FinOps &amp; Arquitetura Cloud</w:t>
              <w:br/>
            </w:r>
            <w:r>
              <w:rPr>
                <w:rFonts w:ascii="Arial" w:hAnsi="Arial"/>
                <w:color w:val="64748B"/>
                <w:sz w:val="15"/>
              </w:rPr>
              <w:t>Netfits Plataforma Digital S.A.</w:t>
              <w:br/>
              <w:t>Google Cloud Startup Program — Live Production 2026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