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6912"/>
          </w:tcPr>
          <w:p>
            <w:pPr>
              <w:spacing w:before="0" w:after="40"/>
            </w:pPr>
            <w:r>
              <w:rPr>
                <w:rFonts w:ascii="Arial Black" w:hAnsi="Arial Black"/>
                <w:color w:val="10B981"/>
                <w:sz w:val="40"/>
              </w:rPr>
              <w:t>NETFITS</w:t>
              <w:br/>
            </w:r>
            <w:r>
              <w:rPr>
                <w:rFonts w:ascii="Arial" w:hAnsi="Arial"/>
                <w:b/>
                <w:color w:val="0F172A"/>
                <w:sz w:val="19"/>
              </w:rPr>
              <w:t>ESTUDO DE PRODUTIVIDADE, HORAS &amp; EQUIVALÊNCIA EM SQUADS IA</w:t>
              <w:br/>
            </w:r>
            <w:r>
              <w:rPr>
                <w:rFonts w:ascii="Arial" w:hAnsi="Arial"/>
                <w:color w:val="64748B"/>
                <w:sz w:val="17"/>
              </w:rPr>
              <w:t>Auditoria Comparativa v1.0 (04/Set) vs. v2.0 (07/Out/2026) — AI-First Engineering</w:t>
            </w:r>
          </w:p>
        </w:tc>
        <w:tc>
          <w:tcPr>
            <w:tcW w:type="dxa" w:w="3312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475569"/>
                <w:sz w:val="16"/>
              </w:rPr>
              <w:t>DATA: 07/10/2026</w:t>
              <w:br/>
              <w:t>VERSÃO: 2.0 OFICIAL</w:t>
              <w:br/>
              <w:t>STATUS: ATUALIZADO</w:t>
              <w:br/>
              <w:t>ESCOPO: PRODUÇÃO LIVE</w:t>
            </w:r>
          </w:p>
        </w:tc>
      </w:tr>
    </w:tbl>
    <w:p>
      <w:pPr>
        <w:spacing w:before="120" w:after="200"/>
      </w:pPr>
      <w:r>
        <w:rPr>
          <w:color w:val="CBD5E1"/>
        </w:rPr>
        <w:t>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80"/>
      </w:pPr>
      <w:r>
        <w:rPr>
          <w:rFonts w:ascii="Arial" w:hAnsi="Arial"/>
          <w:b/>
          <w:color w:val="10B981"/>
          <w:sz w:val="19"/>
        </w:rPr>
        <w:t xml:space="preserve">[AUDITORIA] </w:t>
      </w:r>
      <w:r>
        <w:rPr>
          <w:rFonts w:ascii="Arial Black" w:hAnsi="Arial Black"/>
          <w:color w:val="0F172A"/>
          <w:sz w:val="23"/>
        </w:rPr>
        <w:t>1. SUMÁRIO EXECUTIVO &amp; TESE DE EFICIÊNCIA DE CAPITAL (v2.0 ATUALIZADA)</w:t>
      </w:r>
    </w:p>
    <w:p>
      <w:pPr>
        <w:spacing w:after="120" w:line="276" w:lineRule="auto"/>
      </w:pPr>
      <w:r>
        <w:rPr>
          <w:rFonts w:ascii="Arial" w:hAnsi="Arial"/>
          <w:color w:val="334155"/>
          <w:sz w:val="18"/>
        </w:rPr>
        <w:t>Este relatório formal atualiza o Estudo de Produtividade da Netfits Ltda. (CNPJ 68.930.455/0001-40), incorporando todas as evoluções arquiteturais, integrações de missão crítica (Webhooks B2B da Rock/MKPlace com idempotência), blindagem antifraude de leitura e retenção de vídeo, empacotamento móvel nativo (Capacitor), gamificação realtime e governança de dados singulares (Google Cloud Startup Program) executadas entre 04 de Setembro e 07 de Outubro de 2026.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80" w:line="276" w:lineRule="auto"/>
            </w:pPr>
            <w:r>
              <w:rPr>
                <w:rFonts w:ascii="Arial" w:hAnsi="Arial"/>
                <w:b/>
                <w:color w:val="0F172A"/>
                <w:sz w:val="19"/>
              </w:rPr>
              <w:t>PRINCIPAIS CONCLUSÕES DA AUDITORIA ATUALIZADA (v2.0):</w:t>
              <w:br/>
            </w:r>
            <w:r>
              <w:rPr>
                <w:rFonts w:ascii="Arial" w:hAnsi="Arial"/>
                <w:b/>
                <w:color w:val="1E293B"/>
                <w:sz w:val="18"/>
              </w:rPr>
              <w:t xml:space="preserve">• Volume de Código em Produção (src/): </w:t>
            </w:r>
            <w:r>
              <w:rPr>
                <w:rFonts w:ascii="Arial" w:hAnsi="Arial"/>
                <w:b w:val="0"/>
                <w:color w:val="334155"/>
                <w:sz w:val="18"/>
              </w:rPr>
              <w:t>36.016 linhas auditadas (+27,4% vs. v1.0) em 115 arquivos TypeScript/React.</w:t>
              <w:br/>
            </w:r>
            <w:r>
              <w:rPr>
                <w:rFonts w:ascii="Arial" w:hAnsi="Arial"/>
                <w:b/>
                <w:color w:val="1E293B"/>
                <w:sz w:val="18"/>
              </w:rPr>
              <w:t xml:space="preserve">• Densidade de Lógica Pura (.ts): </w:t>
            </w:r>
            <w:r>
              <w:rPr>
                <w:rFonts w:ascii="Arial" w:hAnsi="Arial"/>
                <w:b w:val="0"/>
                <w:color w:val="334155"/>
                <w:sz w:val="18"/>
              </w:rPr>
              <w:t>Crescimento de 5.211 para 9.925 linhas (+90,5%), refletindo antifraude, criptografia e webhooks.</w:t>
              <w:br/>
            </w:r>
            <w:r>
              <w:rPr>
                <w:rFonts w:ascii="Arial" w:hAnsi="Arial"/>
                <w:b/>
                <w:color w:val="1E293B"/>
                <w:sz w:val="18"/>
              </w:rPr>
              <w:t xml:space="preserve">• Histórico e Refatoração no Git: </w:t>
            </w:r>
            <w:r>
              <w:rPr>
                <w:rFonts w:ascii="Arial" w:hAnsi="Arial"/>
                <w:b w:val="0"/>
                <w:color w:val="334155"/>
                <w:sz w:val="18"/>
              </w:rPr>
              <w:t>269 commits estruturados (+72,4%), com 461.723 inserções e 842.717 linhas de churn contínuo.</w:t>
              <w:br/>
            </w:r>
            <w:r>
              <w:rPr>
                <w:rFonts w:ascii="Arial" w:hAnsi="Arial"/>
                <w:b/>
                <w:color w:val="1E293B"/>
                <w:sz w:val="18"/>
              </w:rPr>
              <w:t xml:space="preserve">• Esforço Humano Equivalente: </w:t>
            </w:r>
            <w:r>
              <w:rPr>
                <w:rFonts w:ascii="Arial" w:hAnsi="Arial"/>
                <w:b w:val="0"/>
                <w:color w:val="334155"/>
                <w:sz w:val="18"/>
              </w:rPr>
              <w:t>2.840 a 3.320 horas de trabalho sênior especializado (era 1.510 a 1.820 h na v1.0).</w:t>
              <w:br/>
            </w:r>
            <w:r>
              <w:rPr>
                <w:rFonts w:ascii="Arial" w:hAnsi="Arial"/>
                <w:b/>
                <w:color w:val="1E293B"/>
                <w:sz w:val="18"/>
              </w:rPr>
              <w:t xml:space="preserve">• Time-to-Market Real vs. Tradicional: </w:t>
            </w:r>
            <w:r>
              <w:rPr>
                <w:rFonts w:ascii="Arial" w:hAnsi="Arial"/>
                <w:b w:val="0"/>
                <w:color w:val="334155"/>
                <w:sz w:val="18"/>
              </w:rPr>
              <w:t>9 semanas de ciclo total contínuo. Um time humano levaria de 10 a 14 meses para entregar o mesmo escopo.</w:t>
              <w:br/>
            </w:r>
            <w:r>
              <w:rPr>
                <w:rFonts w:ascii="Arial" w:hAnsi="Arial"/>
                <w:b/>
                <w:color w:val="1E293B"/>
                <w:sz w:val="18"/>
              </w:rPr>
              <w:t xml:space="preserve">• Dimensionamento de Squads Humanas: </w:t>
            </w:r>
            <w:r>
              <w:rPr>
                <w:rFonts w:ascii="Arial" w:hAnsi="Arial"/>
                <w:b w:val="0"/>
                <w:color w:val="334155"/>
                <w:sz w:val="18"/>
              </w:rPr>
              <w:t>Substitui 4 a 5 Squads Completas de Engenharia, QA, FinOps, Design e Legal Tech (16 a 18 profissionais).</w:t>
              <w:br/>
            </w:r>
            <w:r>
              <w:rPr>
                <w:rFonts w:ascii="Arial" w:hAnsi="Arial"/>
                <w:b/>
                <w:color w:val="1E293B"/>
                <w:sz w:val="18"/>
              </w:rPr>
              <w:t xml:space="preserve">• Economia de Capital Realizada: </w:t>
            </w:r>
            <w:r>
              <w:rPr>
                <w:rFonts w:ascii="Arial" w:hAnsi="Arial"/>
                <w:b/>
                <w:color w:val="16A34A"/>
                <w:sz w:val="19"/>
              </w:rPr>
              <w:t>Superior a R$ 3.800.000,00 (três milhões e oitocentos mil reais) em folha, encargos e tooling.</w:t>
            </w:r>
          </w:p>
        </w:tc>
      </w:tr>
    </w:tbl>
    <w:p>
      <w:pPr>
        <w:keepNext/>
        <w:spacing w:before="280" w:after="80"/>
      </w:pPr>
      <w:r>
        <w:rPr>
          <w:rFonts w:ascii="Arial" w:hAnsi="Arial"/>
          <w:b/>
          <w:color w:val="2563EB"/>
          <w:sz w:val="19"/>
        </w:rPr>
        <w:t xml:space="preserve">[MÉTRICAS] </w:t>
      </w:r>
      <w:r>
        <w:rPr>
          <w:rFonts w:ascii="Arial Black" w:hAnsi="Arial Black"/>
          <w:color w:val="0F172A"/>
          <w:sz w:val="23"/>
        </w:rPr>
        <w:t>2. QUADRO COMPARATIVO DA EVOLUÇÃO DE ENGENHARIA (v1.0 vs. v2.0)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60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6"/>
              </w:rPr>
              <w:t>Métrica de Engenharia Auditada</w:t>
            </w:r>
          </w:p>
        </w:tc>
        <w:tc>
          <w:tcPr>
            <w:tcW w:type="dxa" w:w="216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6"/>
              </w:rPr>
              <w:t>v1.0 (04/Set/26)</w:t>
            </w:r>
          </w:p>
        </w:tc>
        <w:tc>
          <w:tcPr>
            <w:tcW w:type="dxa" w:w="2304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6"/>
              </w:rPr>
              <w:t>v2.0 (07/Out/26)</w:t>
            </w:r>
          </w:p>
        </w:tc>
        <w:tc>
          <w:tcPr>
            <w:tcW w:type="dxa" w:w="216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6"/>
              </w:rPr>
              <w:t>Evolução Real (Delta)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6"/>
              </w:rPr>
              <w:t>Linhas de Código em src/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6"/>
              </w:rPr>
              <w:t>28.269 linhas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475569"/>
                <w:sz w:val="16"/>
              </w:rPr>
              <w:t>36.016 linhas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0B981"/>
                <w:sz w:val="16"/>
              </w:rPr>
              <w:t>+7.747 linhas (+27,4%)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6"/>
              </w:rPr>
              <w:t>Lógica Backend &amp; Core (.ts)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6"/>
              </w:rPr>
              <w:t>5.211 linhas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475569"/>
                <w:sz w:val="16"/>
              </w:rPr>
              <w:t>9.925 linhas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0B981"/>
                <w:sz w:val="16"/>
              </w:rPr>
              <w:t>+4.714 linhas (+90,5%)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6"/>
              </w:rPr>
              <w:t>Arquivos em Produção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6"/>
              </w:rPr>
              <w:t>101 arquivos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475569"/>
                <w:sz w:val="16"/>
              </w:rPr>
              <w:t>115 arquivos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0B981"/>
                <w:sz w:val="16"/>
              </w:rPr>
              <w:t>+14 arquivos (+13,9%)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6"/>
              </w:rPr>
              <w:t>Commits Estruturados no Git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6"/>
              </w:rPr>
              <w:t>156 commits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475569"/>
                <w:sz w:val="16"/>
              </w:rPr>
              <w:t>269 commits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0B981"/>
                <w:sz w:val="16"/>
              </w:rPr>
              <w:t>+113 commits (+72,4%)</w:t>
            </w:r>
          </w:p>
        </w:tc>
      </w:tr>
      <w:tr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6"/>
              </w:rPr>
              <w:t>Inserções / Refatoração Git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6"/>
              </w:rPr>
              <w:t>392.246 inserções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475569"/>
                <w:sz w:val="16"/>
              </w:rPr>
              <w:t>461.723 ins. / 842k churn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0B981"/>
                <w:sz w:val="16"/>
              </w:rPr>
              <w:t>+69.477 ins. (+17,7%)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6"/>
              </w:rPr>
              <w:t>Dossiês, Minutas &amp; Relatórios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6"/>
              </w:rPr>
              <w:t>32 documentos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475569"/>
                <w:sz w:val="16"/>
              </w:rPr>
              <w:t>132 ativos oficiais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0B981"/>
                <w:sz w:val="16"/>
              </w:rPr>
              <w:t>+100 docs (+312,5%)</w:t>
            </w:r>
          </w:p>
        </w:tc>
      </w:tr>
    </w:tbl>
    <w:p>
      <w:pPr>
        <w:keepNext/>
        <w:spacing w:before="280" w:after="80"/>
      </w:pPr>
      <w:r>
        <w:rPr>
          <w:rFonts w:ascii="Arial" w:hAnsi="Arial"/>
          <w:b/>
          <w:color w:val="7C3AED"/>
          <w:sz w:val="19"/>
        </w:rPr>
        <w:t xml:space="preserve">[DESENVOLVIMENTO] </w:t>
      </w:r>
      <w:r>
        <w:rPr>
          <w:rFonts w:ascii="Arial Black" w:hAnsi="Arial Black"/>
          <w:color w:val="0F172A"/>
          <w:sz w:val="23"/>
        </w:rPr>
        <w:t>3. ENTREGAS ARQUITETURAIS &amp; CORREÇÕES IMPLEMENTADAS (SETEMBRO A OUTUBRO)</w:t>
      </w:r>
    </w:p>
    <w:p>
      <w:pPr>
        <w:keepNext/>
        <w:spacing w:before="120" w:after="40"/>
      </w:pPr>
      <w:r>
        <w:rPr>
          <w:rFonts w:ascii="Arial" w:hAnsi="Arial"/>
          <w:b/>
          <w:color w:val="0F172A"/>
          <w:sz w:val="17"/>
        </w:rPr>
        <w:t>A. Integração de Webhooks Rock Encantech &amp; Idempotência Criptográfica (/api/orders)</w:t>
        <w:br/>
      </w:r>
      <w:r>
        <w:rPr>
          <w:rFonts w:ascii="Arial" w:hAnsi="Arial"/>
          <w:color w:val="475569"/>
          <w:sz w:val="16"/>
        </w:rPr>
        <w:t>Implementação de endpoint serverless com verificação em tempo constante (crypto.timingSafeEqual) contra timing attacks. Motor de idempotência estrita via upsert por _id, garantindo no máximo um crédito de cashback por transação física, mesmo com múltiplos envios de status da Mkplace. Resolução canônica de customer.ref e suporte a conciliação contábil com estorno automático de divergências.</w:t>
      </w:r>
    </w:p>
    <w:p>
      <w:pPr>
        <w:keepNext/>
        <w:spacing w:before="120" w:after="40"/>
      </w:pPr>
      <w:r>
        <w:rPr>
          <w:rFonts w:ascii="Arial" w:hAnsi="Arial"/>
          <w:b/>
          <w:color w:val="0F172A"/>
          <w:sz w:val="17"/>
        </w:rPr>
        <w:t>B. Motor Antifraude de Engajamento, Dwell Time &amp; Retenção de Mídia (feed-antifraud.ts)</w:t>
        <w:br/>
      </w:r>
      <w:r>
        <w:rPr>
          <w:rFonts w:ascii="Arial" w:hAnsi="Arial"/>
          <w:color w:val="475569"/>
          <w:sz w:val="16"/>
        </w:rPr>
        <w:t>Criação de esteira antifraude de conformidade atuarial: verificação contínua de permanência ativa (Dwell Time) em artigos médicos, exigência estrita de 90%+ de retenção em vídeos para bonificação, teto de 50 NFs por badge e eliminação de vulnerabilidades de farm de pontos.</w:t>
      </w:r>
    </w:p>
    <w:p>
      <w:pPr>
        <w:keepNext/>
        <w:spacing w:before="120" w:after="40"/>
      </w:pPr>
      <w:r>
        <w:rPr>
          <w:rFonts w:ascii="Arial" w:hAnsi="Arial"/>
          <w:b/>
          <w:color w:val="0F172A"/>
          <w:sz w:val="17"/>
        </w:rPr>
        <w:t>C. Curadoria Médica Especializada Fibios (Dr. Franco Merici &amp; Dra. Isabella Formigari)</w:t>
        <w:br/>
      </w:r>
      <w:r>
        <w:rPr>
          <w:rFonts w:ascii="Arial" w:hAnsi="Arial"/>
          <w:color w:val="475569"/>
          <w:sz w:val="16"/>
        </w:rPr>
        <w:t>Desenvolvimento de cards interativos com quizzes pedagógicos (Quiz-to-Earn), artigos aprofundados sobre inflamação crônica, sarcopenia, biomarcadores e sono profundo. Integração de modais de leitura completa, players de vídeo e canais de agendamento de consultas com cashback para o ecossistema Netfits.</w:t>
      </w:r>
    </w:p>
    <w:p>
      <w:pPr>
        <w:keepNext/>
        <w:spacing w:before="120" w:after="40"/>
      </w:pPr>
      <w:r>
        <w:rPr>
          <w:rFonts w:ascii="Arial" w:hAnsi="Arial"/>
          <w:b/>
          <w:color w:val="0F172A"/>
          <w:sz w:val="17"/>
        </w:rPr>
        <w:t>D. Empacotamento Mobile Nativo (Capacitor 8.x) &amp; Blindagem de Alto Contraste</w:t>
        <w:br/>
      </w:r>
      <w:r>
        <w:rPr>
          <w:rFonts w:ascii="Arial" w:hAnsi="Arial"/>
          <w:color w:val="475569"/>
          <w:sz w:val="16"/>
        </w:rPr>
        <w:t>Configuração e sincronização nativa para iOS e Android com plugins de Biometria, Push Notifications, Splash Screen e Status Bar. Correção crítica de acessibilidade e contraste: isolamento de variantes dark no Tailwind CSS v4 para evitar leitura invisível em smartphones com modo escuro do SO ativado, garantindo legibilidade perfeita.</w:t>
      </w:r>
    </w:p>
    <w:p>
      <w:pPr>
        <w:keepNext/>
        <w:spacing w:before="120" w:after="40"/>
      </w:pPr>
      <w:r>
        <w:rPr>
          <w:rFonts w:ascii="Arial" w:hAnsi="Arial"/>
          <w:b/>
          <w:color w:val="0F172A"/>
          <w:sz w:val="17"/>
        </w:rPr>
        <w:t>E. Motor Viral Member-Get-Member (MGM) com Compartilhamento Nativo Real</w:t>
        <w:br/>
      </w:r>
      <w:r>
        <w:rPr>
          <w:rFonts w:ascii="Arial" w:hAnsi="Arial"/>
          <w:color w:val="475569"/>
          <w:sz w:val="16"/>
        </w:rPr>
        <w:t>Estruturação de fluxo de indicação com código exclusivo por atleta (50 NFs por conversão), integração direta com a Web Share API nativa do aparelho celular (WhatsApp e mensageiros reais) e remoção integral de contatos ou dados fictícios.</w:t>
      </w:r>
    </w:p>
    <w:p>
      <w:pPr>
        <w:keepNext/>
        <w:spacing w:before="120" w:after="40"/>
      </w:pPr>
      <w:r>
        <w:rPr>
          <w:rFonts w:ascii="Arial" w:hAnsi="Arial"/>
          <w:b/>
          <w:color w:val="0F172A"/>
          <w:sz w:val="17"/>
        </w:rPr>
        <w:t>F. Identidade Singular &amp; Governança Google Cloud Startup Program</w:t>
        <w:br/>
      </w:r>
      <w:r>
        <w:rPr>
          <w:rFonts w:ascii="Arial" w:hAnsi="Arial"/>
          <w:color w:val="475569"/>
          <w:sz w:val="16"/>
        </w:rPr>
        <w:t>Desativação de credenciais padrão compartilhadas, fortalecimento do isolamento de sessões para múltiplos associados no mesmo dispositivo (ex: família Formigari) e conformidade estrita com padrões bancários de dados pessoais (LGPD).</w:t>
      </w:r>
    </w:p>
    <w:p>
      <w:pPr>
        <w:keepNext/>
        <w:spacing w:before="280" w:after="80"/>
      </w:pPr>
      <w:r>
        <w:rPr>
          <w:rFonts w:ascii="Arial" w:hAnsi="Arial"/>
          <w:b/>
          <w:color w:val="EA580C"/>
          <w:sz w:val="19"/>
        </w:rPr>
        <w:t xml:space="preserve">[DIMENSIONAMENTO] </w:t>
      </w:r>
      <w:r>
        <w:rPr>
          <w:rFonts w:ascii="Arial Black" w:hAnsi="Arial Black"/>
          <w:color w:val="0F172A"/>
          <w:sz w:val="23"/>
        </w:rPr>
        <w:t>4. METODOLOGIA COCOMO II &amp; MATRIZ DE HORAS POR DISCIPLINA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4608"/>
            <w:shd w:fill="0F172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6"/>
              </w:rPr>
              <w:t>Disciplina Técnica de Especialidade</w:t>
            </w:r>
          </w:p>
        </w:tc>
        <w:tc>
          <w:tcPr>
            <w:tcW w:type="dxa" w:w="2592"/>
            <w:shd w:fill="0F172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6"/>
              </w:rPr>
              <w:t>Horas v1.0 (04/Set)</w:t>
            </w:r>
          </w:p>
        </w:tc>
        <w:tc>
          <w:tcPr>
            <w:tcW w:type="dxa" w:w="3024"/>
            <w:shd w:fill="0F172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6"/>
              </w:rPr>
              <w:t>Horas v2.0 Atualizadas (07/Out)</w:t>
            </w:r>
          </w:p>
        </w:tc>
      </w:tr>
      <w:tr>
        <w:tc>
          <w:tcPr>
            <w:tcW w:type="dxa" w:w="460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6"/>
              </w:rPr>
              <w:t>Engenharia Frontend Sênior (React 19 / Vite / Tailwind v4)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6"/>
              </w:rPr>
              <w:t>420 a 480 h</w:t>
            </w:r>
          </w:p>
        </w:tc>
        <w:tc>
          <w:tcPr>
            <w:tcW w:type="dxa" w:w="302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475569"/>
                <w:sz w:val="16"/>
              </w:rPr>
              <w:t>680 a 780 h</w:t>
            </w:r>
          </w:p>
        </w:tc>
      </w:tr>
      <w:tr>
        <w:tc>
          <w:tcPr>
            <w:tcW w:type="dxa" w:w="460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6"/>
              </w:rPr>
              <w:t>Engenharia Backend &amp; Criptografia (Nitro / TimingSafe / Idempotência)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6"/>
              </w:rPr>
              <w:t>320 a 380 h</w:t>
            </w:r>
          </w:p>
        </w:tc>
        <w:tc>
          <w:tcPr>
            <w:tcW w:type="dxa" w:w="302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475569"/>
                <w:sz w:val="16"/>
              </w:rPr>
              <w:t>580 a 660 h</w:t>
            </w:r>
          </w:p>
        </w:tc>
      </w:tr>
      <w:tr>
        <w:tc>
          <w:tcPr>
            <w:tcW w:type="dxa" w:w="460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6"/>
              </w:rPr>
              <w:t>Mobile Nativo &amp; Capacitor (Biometria / Push / StatusBar / Sync)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6"/>
              </w:rPr>
              <w:t>Incluso no core</w:t>
            </w:r>
          </w:p>
        </w:tc>
        <w:tc>
          <w:tcPr>
            <w:tcW w:type="dxa" w:w="302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475569"/>
                <w:sz w:val="16"/>
              </w:rPr>
              <w:t>320 a 380 h</w:t>
            </w:r>
          </w:p>
        </w:tc>
      </w:tr>
      <w:tr>
        <w:tc>
          <w:tcPr>
            <w:tcW w:type="dxa" w:w="460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6"/>
              </w:rPr>
              <w:t>Arquitetura Cloud &amp; Antifraude (Google Cloud / Dwell Time / Replay)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6"/>
              </w:rPr>
              <w:t>180 a 220 h</w:t>
            </w:r>
          </w:p>
        </w:tc>
        <w:tc>
          <w:tcPr>
            <w:tcW w:type="dxa" w:w="302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475569"/>
                <w:sz w:val="16"/>
              </w:rPr>
              <w:t>340 a 400 h</w:t>
            </w:r>
          </w:p>
        </w:tc>
      </w:tr>
      <w:tr>
        <w:tc>
          <w:tcPr>
            <w:tcW w:type="dxa" w:w="460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6"/>
              </w:rPr>
              <w:t>Engenharia de QA &amp; Test Automation (Replay Webhook / Auditoria)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6"/>
              </w:rPr>
              <w:t>200 a 240 h</w:t>
            </w:r>
          </w:p>
        </w:tc>
        <w:tc>
          <w:tcPr>
            <w:tcW w:type="dxa" w:w="302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475569"/>
                <w:sz w:val="16"/>
              </w:rPr>
              <w:t>360 a 420 h</w:t>
            </w:r>
          </w:p>
        </w:tc>
      </w:tr>
      <w:tr>
        <w:tc>
          <w:tcPr>
            <w:tcW w:type="dxa" w:w="460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6"/>
              </w:rPr>
              <w:t>Product Management, BI &amp; Modelagem de Pontos (MGM / Atuarial)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6"/>
              </w:rPr>
              <w:t>160 a 200 h</w:t>
            </w:r>
          </w:p>
        </w:tc>
        <w:tc>
          <w:tcPr>
            <w:tcW w:type="dxa" w:w="302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475569"/>
                <w:sz w:val="16"/>
              </w:rPr>
              <w:t>310 a 360 h</w:t>
            </w:r>
          </w:p>
        </w:tc>
      </w:tr>
      <w:tr>
        <w:tc>
          <w:tcPr>
            <w:tcW w:type="dxa" w:w="460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6"/>
              </w:rPr>
              <w:t>Legal Tech, Compliance &amp; Dossiês Executivos (132 docs / LGPD)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6"/>
              </w:rPr>
              <w:t>90 a 120 h</w:t>
            </w:r>
          </w:p>
        </w:tc>
        <w:tc>
          <w:tcPr>
            <w:tcW w:type="dxa" w:w="302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475569"/>
                <w:sz w:val="16"/>
              </w:rPr>
              <w:t>250 a 320 h</w:t>
            </w:r>
          </w:p>
        </w:tc>
      </w:tr>
      <w:tr>
        <w:tc>
          <w:tcPr>
            <w:tcW w:type="dxa" w:w="4608"/>
            <w:shd w:fill="DCFCE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6534"/>
                <w:sz w:val="16"/>
              </w:rPr>
              <w:t>TOTAL DE HORAS HUMANAS EQUIVALENTES ACUMULADAS</w:t>
            </w:r>
          </w:p>
        </w:tc>
        <w:tc>
          <w:tcPr>
            <w:tcW w:type="dxa" w:w="2592"/>
            <w:shd w:fill="DCFCE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6534"/>
                <w:sz w:val="16"/>
              </w:rPr>
              <w:t>1.510 a 1.820 h</w:t>
            </w:r>
          </w:p>
        </w:tc>
        <w:tc>
          <w:tcPr>
            <w:tcW w:type="dxa" w:w="3024"/>
            <w:shd w:fill="DCFCE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6534"/>
                <w:sz w:val="16"/>
              </w:rPr>
              <w:t>2.840 a 3.320 h</w:t>
            </w:r>
          </w:p>
        </w:tc>
      </w:tr>
    </w:tbl>
    <w:p>
      <w:pPr>
        <w:keepNext/>
        <w:spacing w:before="280" w:after="80"/>
      </w:pPr>
      <w:r>
        <w:rPr>
          <w:rFonts w:ascii="Arial" w:hAnsi="Arial"/>
          <w:b/>
          <w:color w:val="0284C7"/>
          <w:sz w:val="19"/>
        </w:rPr>
        <w:t xml:space="preserve">[SQUADS] </w:t>
      </w:r>
      <w:r>
        <w:rPr>
          <w:rFonts w:ascii="Arial Black" w:hAnsi="Arial Black"/>
          <w:color w:val="0F172A"/>
          <w:sz w:val="23"/>
        </w:rPr>
        <w:t>5. MAPEAMENTO DE SQUADS HUMANAS EQUIVALENTES (16 A 18 PROFISSIONAIS)</w:t>
      </w:r>
    </w:p>
    <w:p>
      <w:pPr>
        <w:spacing w:after="80"/>
      </w:pPr>
      <w:r>
        <w:rPr>
          <w:rFonts w:ascii="Arial" w:hAnsi="Arial"/>
          <w:color w:val="334155"/>
          <w:sz w:val="17"/>
        </w:rPr>
        <w:t>Para realizar as entregas da plataforma com velocidade comparável, uma software house ou startup tradicional precisaria alocar e gerenciar simultaneamente de 4 a 5 Squads Multidisciplinares Especializadas:</w:t>
      </w:r>
    </w:p>
    <w:p>
      <w:pPr>
        <w:spacing w:before="40" w:after="40"/>
      </w:pPr>
      <w:r>
        <w:rPr>
          <w:rFonts w:ascii="Arial" w:hAnsi="Arial"/>
          <w:b/>
          <w:color w:val="0F172A"/>
          <w:sz w:val="16"/>
        </w:rPr>
        <w:t xml:space="preserve">• Squad 1 — Core App &amp; Mobile Experience (4 profissionais): </w:t>
      </w:r>
      <w:r>
        <w:rPr>
          <w:rFonts w:ascii="Arial" w:hAnsi="Arial"/>
          <w:color w:val="475569"/>
          <w:sz w:val="16"/>
        </w:rPr>
        <w:t>2 Frontend Sênior, 1 Mobile/Capacitor Sênior, 1 UI/UX Designer.</w:t>
      </w:r>
    </w:p>
    <w:p>
      <w:pPr>
        <w:spacing w:before="40" w:after="40"/>
      </w:pPr>
      <w:r>
        <w:rPr>
          <w:rFonts w:ascii="Arial" w:hAnsi="Arial"/>
          <w:b/>
          <w:color w:val="0F172A"/>
          <w:sz w:val="16"/>
        </w:rPr>
        <w:t xml:space="preserve">• Squad 2 — Plataforma, APIs &amp; Integrações B2B (4 profissionais): </w:t>
      </w:r>
      <w:r>
        <w:rPr>
          <w:rFonts w:ascii="Arial" w:hAnsi="Arial"/>
          <w:color w:val="475569"/>
          <w:sz w:val="16"/>
        </w:rPr>
        <w:t>2 Backend Sênior (Node/Criptografia), 1 Arquiteto Cloud, 1 DevOps/SRE.</w:t>
      </w:r>
    </w:p>
    <w:p>
      <w:pPr>
        <w:spacing w:before="40" w:after="40"/>
      </w:pPr>
      <w:r>
        <w:rPr>
          <w:rFonts w:ascii="Arial" w:hAnsi="Arial"/>
          <w:b/>
          <w:color w:val="0F172A"/>
          <w:sz w:val="16"/>
        </w:rPr>
        <w:t xml:space="preserve">• Squad 3 — Antifraude, Fidelidade &amp; Modelagem Financeira (3 profissionais): </w:t>
      </w:r>
      <w:r>
        <w:rPr>
          <w:rFonts w:ascii="Arial" w:hAnsi="Arial"/>
          <w:color w:val="475569"/>
          <w:sz w:val="16"/>
        </w:rPr>
        <w:t>1 Engenheiro de Dados/Antifraude, 1 Product Manager de Loyalty, 1 Analista Financeiro/FinOps.</w:t>
      </w:r>
    </w:p>
    <w:p>
      <w:pPr>
        <w:spacing w:before="40" w:after="40"/>
      </w:pPr>
      <w:r>
        <w:rPr>
          <w:rFonts w:ascii="Arial" w:hAnsi="Arial"/>
          <w:b/>
          <w:color w:val="0F172A"/>
          <w:sz w:val="16"/>
        </w:rPr>
        <w:t xml:space="preserve">• Squad 4 — QA, Replay Testing &amp; Homologação Contínua (3 profissionais): </w:t>
      </w:r>
      <w:r>
        <w:rPr>
          <w:rFonts w:ascii="Arial" w:hAnsi="Arial"/>
          <w:color w:val="475569"/>
          <w:sz w:val="16"/>
        </w:rPr>
        <w:t>2 Engenheiros de QA Automation, 1 QA Manual para homologação de aparelhos físicos.</w:t>
      </w:r>
    </w:p>
    <w:p>
      <w:pPr>
        <w:spacing w:before="40" w:after="40"/>
      </w:pPr>
      <w:r>
        <w:rPr>
          <w:rFonts w:ascii="Arial" w:hAnsi="Arial"/>
          <w:b/>
          <w:color w:val="0F172A"/>
          <w:sz w:val="16"/>
        </w:rPr>
        <w:t xml:space="preserve">• Squad Transversal — Legal Tech, Parcerias &amp; Governança (2 a 3 profissionais): </w:t>
      </w:r>
      <w:r>
        <w:rPr>
          <w:rFonts w:ascii="Arial" w:hAnsi="Arial"/>
          <w:color w:val="475569"/>
          <w:sz w:val="16"/>
        </w:rPr>
        <w:t>1 Especialista em Direito Digital/LGPD, 1 Consultor Médico/Regulatório, 1 Tech Writer Corporativo.</w:t>
      </w:r>
    </w:p>
    <w:p>
      <w:pPr>
        <w:keepNext/>
        <w:spacing w:before="280" w:after="80"/>
      </w:pPr>
      <w:r>
        <w:rPr>
          <w:rFonts w:ascii="Arial" w:hAnsi="Arial"/>
          <w:b/>
          <w:color w:val="16A34A"/>
          <w:sz w:val="19"/>
        </w:rPr>
        <w:t xml:space="preserve">[FINOPS] </w:t>
      </w:r>
      <w:r>
        <w:rPr>
          <w:rFonts w:ascii="Arial Black" w:hAnsi="Arial Black"/>
          <w:color w:val="0F172A"/>
          <w:sz w:val="23"/>
        </w:rPr>
        <w:t>6. BALANÇO FINANCEIRO COMPARATIVO &amp; ROI DE PRÉ-LANÇAMENTO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600"/>
            <w:shd w:fill="0F172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6"/>
              </w:rPr>
              <w:t>Linha de Custo / Investimento</w:t>
            </w:r>
          </w:p>
        </w:tc>
        <w:tc>
          <w:tcPr>
            <w:tcW w:type="dxa" w:w="2304"/>
            <w:shd w:fill="0F172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6"/>
              </w:rPr>
              <w:t>Estrutura Humana (16-18 devs)</w:t>
            </w:r>
          </w:p>
        </w:tc>
        <w:tc>
          <w:tcPr>
            <w:tcW w:type="dxa" w:w="2160"/>
            <w:shd w:fill="0F172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6"/>
              </w:rPr>
              <w:t>Squad IA (Netfits)</w:t>
            </w:r>
          </w:p>
        </w:tc>
        <w:tc>
          <w:tcPr>
            <w:tcW w:type="dxa" w:w="2160"/>
            <w:shd w:fill="0F172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6"/>
              </w:rPr>
              <w:t>Economia Realizada</w:t>
            </w:r>
          </w:p>
        </w:tc>
      </w:tr>
      <w:tr>
        <w:tc>
          <w:tcPr>
            <w:tcW w:type="dxa" w:w="360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6"/>
              </w:rPr>
              <w:t>Folha de Pagamento Acumulada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6"/>
              </w:rPr>
              <w:t>R$ 3.520.000 a R$ 4.300.000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6"/>
              </w:rPr>
              <w:t>R$ 0,00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475569"/>
                <w:sz w:val="16"/>
              </w:rPr>
              <w:t>&gt; R$ 3.520.000,00</w:t>
            </w:r>
          </w:p>
        </w:tc>
      </w:tr>
      <w:tr>
        <w:tc>
          <w:tcPr>
            <w:tcW w:type="dxa" w:w="36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6"/>
              </w:rPr>
              <w:t>Licenças de Tooling &amp; SaaS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6"/>
              </w:rPr>
              <w:t>R$ 140.000 a R$ 180.000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6"/>
              </w:rPr>
              <w:t>~R$ 2.500,00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475569"/>
                <w:sz w:val="16"/>
              </w:rPr>
              <w:t>&gt; R$ 137.500,00</w:t>
            </w:r>
          </w:p>
        </w:tc>
      </w:tr>
      <w:tr>
        <w:tc>
          <w:tcPr>
            <w:tcW w:type="dxa" w:w="360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6"/>
              </w:rPr>
              <w:t>Infraestrutura Cloud &amp; Servidores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6"/>
              </w:rPr>
              <w:t>R$ 90.000 a R$ 130.000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6"/>
              </w:rPr>
              <w:t>~R$ 8.000,00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475569"/>
                <w:sz w:val="16"/>
              </w:rPr>
              <w:t>&gt; R$ 82.000,00</w:t>
            </w:r>
          </w:p>
        </w:tc>
      </w:tr>
      <w:tr>
        <w:tc>
          <w:tcPr>
            <w:tcW w:type="dxa" w:w="36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6"/>
              </w:rPr>
              <w:t>Tempo Total de Desenvolvimento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6"/>
              </w:rPr>
              <w:t>10 a 14 meses de projeto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475569"/>
                <w:sz w:val="16"/>
              </w:rPr>
              <w:t>9 semanas corridas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475569"/>
                <w:sz w:val="16"/>
              </w:rPr>
              <w:t>Ganho de 8+ meses</w:t>
            </w:r>
          </w:p>
        </w:tc>
      </w:tr>
      <w:tr>
        <w:tc>
          <w:tcPr>
            <w:tcW w:type="dxa" w:w="3600"/>
            <w:shd w:fill="DCFCE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6534"/>
                <w:sz w:val="16"/>
              </w:rPr>
              <w:t>TOTAL FINANCEIRO EVITADO</w:t>
            </w:r>
          </w:p>
        </w:tc>
        <w:tc>
          <w:tcPr>
            <w:tcW w:type="dxa" w:w="2304"/>
            <w:shd w:fill="DCFCE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6534"/>
                <w:sz w:val="16"/>
              </w:rPr>
              <w:t>R$ 3.750.000 a R$ 4.610.000</w:t>
            </w:r>
          </w:p>
        </w:tc>
        <w:tc>
          <w:tcPr>
            <w:tcW w:type="dxa" w:w="2160"/>
            <w:shd w:fill="DCFCE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6534"/>
                <w:sz w:val="16"/>
              </w:rPr>
              <w:t>~R$ 10.500,00</w:t>
            </w:r>
          </w:p>
        </w:tc>
        <w:tc>
          <w:tcPr>
            <w:tcW w:type="dxa" w:w="2160"/>
            <w:shd w:fill="DCFCE7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6534"/>
                <w:sz w:val="16"/>
              </w:rPr>
              <w:t>&gt; R$ 3.800.000,00</w:t>
            </w:r>
          </w:p>
        </w:tc>
      </w:tr>
    </w:tbl>
    <w:p>
      <w:pPr>
        <w:keepNext/>
        <w:spacing w:before="280" w:after="80"/>
      </w:pPr>
      <w:r>
        <w:rPr>
          <w:rFonts w:ascii="Arial" w:hAnsi="Arial"/>
          <w:b/>
          <w:color w:val="0F172A"/>
          <w:sz w:val="19"/>
        </w:rPr>
        <w:t xml:space="preserve">[GOVERNANÇA] </w:t>
      </w:r>
      <w:r>
        <w:rPr>
          <w:rFonts w:ascii="Arial Black" w:hAnsi="Arial Black"/>
          <w:color w:val="0F172A"/>
          <w:sz w:val="23"/>
        </w:rPr>
        <w:t>7. CONCLUSÃO ESTRATÉGICA PARA CONSELHO &amp; INVESTIDORES</w:t>
      </w:r>
    </w:p>
    <w:p>
      <w:pPr>
        <w:spacing w:after="120" w:line="276" w:lineRule="auto"/>
      </w:pPr>
      <w:r>
        <w:rPr>
          <w:rFonts w:ascii="Arial" w:hAnsi="Arial"/>
          <w:color w:val="334155"/>
          <w:sz w:val="17"/>
        </w:rPr>
        <w:t>A atualização deste estudo demonstra que o modelo AI-First Engineering da Netfits não é apenas uma vantagem transitória de prototipação, mas um moat estrutural definitivo de eficiência operacional. Ao entregar uma arquitetura com rigor bancário, idempotência criptográfica de webhooks B2B, proteção antifraude ativa e esteira mobile nativa consumindo menos de R$ 12 mil de caixa pré-operacional, a Netfits consolida um multiplicador de capital de mais de 350x em relação aos custos tradicionais de software corporativo.</w:t>
      </w:r>
    </w:p>
    <w:p>
      <w:pPr>
        <w:spacing w:before="160" w:after="280"/>
      </w:pPr>
      <w:r>
        <w:rPr>
          <w:color w:val="CBD5E1"/>
        </w:rPr>
        <w:t>—————————————————————————————————————————————————————————————————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040"/>
          </w:tcPr>
          <w:p>
            <w:r>
              <w:rPr>
                <w:color w:val="94A3B8"/>
              </w:rPr>
              <w:t>_________________________________________</w:t>
              <w:br/>
            </w:r>
            <w:r>
              <w:rPr>
                <w:rFonts w:ascii="Arial" w:hAnsi="Arial"/>
                <w:b/>
                <w:color w:val="0F172A"/>
                <w:sz w:val="17"/>
              </w:rPr>
              <w:t>André Gallo</w:t>
              <w:br/>
            </w:r>
            <w:r>
              <w:rPr>
                <w:rFonts w:ascii="Arial" w:hAnsi="Arial"/>
                <w:color w:val="64748B"/>
                <w:sz w:val="15"/>
              </w:rPr>
              <w:t>Diretor Executivo &amp; Fundador — Netfits Ltda.</w:t>
              <w:br/>
              <w:t>CNPJ: 68.930.455/0001-40</w:t>
            </w:r>
          </w:p>
        </w:tc>
        <w:tc>
          <w:tcPr>
            <w:tcW w:type="dxa" w:w="5040"/>
          </w:tcPr>
          <w:p>
            <w:r>
              <w:rPr>
                <w:color w:val="94A3B8"/>
              </w:rPr>
              <w:t>_________________________________________</w:t>
              <w:br/>
            </w:r>
            <w:r>
              <w:rPr>
                <w:rFonts w:ascii="Arial" w:hAnsi="Arial"/>
                <w:b/>
                <w:color w:val="0F172A"/>
                <w:sz w:val="17"/>
              </w:rPr>
              <w:t>Squad Multiagêntico Autônomo com IA</w:t>
              <w:br/>
            </w:r>
            <w:r>
              <w:rPr>
                <w:rFonts w:ascii="Arial" w:hAnsi="Arial"/>
                <w:color w:val="64748B"/>
                <w:sz w:val="15"/>
              </w:rPr>
              <w:t>Engenharia de Software, FinOps, QA &amp; Legal Tech</w:t>
              <w:br/>
              <w:t>Google Cloud Startup Program — Live Production 2026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