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912"/>
          </w:tcPr>
          <w:p>
            <w:pPr>
              <w:spacing w:before="0" w:after="40"/>
            </w:pPr>
            <w:r>
              <w:rPr>
                <w:rFonts w:ascii="Arial Black" w:hAnsi="Arial Black"/>
                <w:color w:val="10B981"/>
                <w:sz w:val="36"/>
              </w:rPr>
              <w:t>NETFITS PLATAFORMA DIGITAL S.A.</w:t>
              <w:br/>
            </w:r>
            <w:r>
              <w:rPr>
                <w:rFonts w:ascii="Arial" w:hAnsi="Arial"/>
                <w:b/>
                <w:color w:val="64748B"/>
                <w:sz w:val="20"/>
              </w:rPr>
              <w:t>Relatório Técnico de Arquitetura de Software &amp; Implantação</w:t>
            </w:r>
          </w:p>
        </w:tc>
        <w:tc>
          <w:tcPr>
            <w:tcW w:type="dxa" w:w="3312"/>
          </w:tcPr>
          <w:p>
            <w:pPr>
              <w:spacing w:before="0" w:after="40"/>
              <w:jc w:val="right"/>
            </w:pPr>
            <w:r>
              <w:rPr>
                <w:rFonts w:ascii="Courier New" w:hAnsi="Courier New"/>
                <w:color w:val="475569"/>
                <w:sz w:val="17"/>
              </w:rPr>
              <w:t>DOC REF: NFS-DEP-2026-001</w:t>
              <w:br/>
              <w:t>DATA: 08/10/2026</w:t>
              <w:br/>
              <w:t>VERSÃO: 1.0 OFICIAL</w:t>
              <w:br/>
              <w:t>STATUS: HOMOLOGADO &amp; ATIVO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 Black" w:hAnsi="Arial Black"/>
          <w:color w:val="0F172A"/>
          <w:sz w:val="28"/>
        </w:rPr>
        <w:t>ARQUITETURA DE DEPLOYMENT DUAL (HOMOLOGAÇÃO &amp; PRODUÇÃO) COM PORTÃO DE VALIDAÇÃO HUMANA</w:t>
      </w:r>
    </w:p>
    <w:p>
      <w:pPr>
        <w:spacing w:before="0" w:after="200"/>
      </w:pPr>
      <w:r>
        <w:rPr>
          <w:rFonts w:ascii="Arial" w:hAnsi="Arial"/>
          <w:i/>
          <w:color w:val="475569"/>
          <w:sz w:val="20"/>
        </w:rPr>
        <w:t>Dossiê técnico e executivo detalhando o diagnóstico da solicitação, a fundamentação da arquitetura proposta, a implementação completa dos ambientes segregados e o protocolo definitivo de governança e tombamento para produção.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97706"/>
                <w:sz w:val="19"/>
              </w:rPr>
              <w:t xml:space="preserve">• DIRETRIZ DE BLINDAGEM OPERACIONAL MANDATÓRIA: </w:t>
            </w:r>
            <w:r>
              <w:rPr>
                <w:rFonts w:ascii="Arial" w:hAnsi="Arial"/>
                <w:color w:val="334155"/>
                <w:sz w:val="19"/>
              </w:rPr>
              <w:t>A partir de 08/10/2026, nenhuma alteração, refatoração ou nova funcionalidade desenvolvida por inteligência artificial ou desenvolvedores é publicada diretamente no ambiente de Produção. Todo ciclo opera exclusivamente em Homologação, condicionado à validação soberana do CEO/Owner antes de qualquer tombamento.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2563EB"/>
          <w:sz w:val="20"/>
        </w:rPr>
        <w:t xml:space="preserve">[DIAGNÓSTICO] </w:t>
      </w:r>
      <w:r>
        <w:rPr>
          <w:rFonts w:ascii="Arial Black" w:hAnsi="Arial Black"/>
          <w:color w:val="0F172A"/>
          <w:sz w:val="24"/>
        </w:rPr>
        <w:t>1. DIAGNÓSTICO E CONTEXTO DA SOLICITAÇÃO</w:t>
      </w:r>
    </w:p>
    <w:p>
      <w:pPr>
        <w:spacing w:after="120"/>
      </w:pPr>
      <w:r>
        <w:t>A plataforma Netfits atingiu recentemente marcos decisivos de maturidade comercial e técnica, incluindo a homologação oficial das chaves criptográficas RSA RS256 da Rock Encantech (StoreId: RhOFkbZJIN), a validação da cotação de fidelidade (R$ 0,01 por ponto NFS) e o recebimento de pedidos reais com apuração de 6% de Take-Rate. Neste estágio de operação real com parceiros comerciais e atletas, o modelo de implantação contínua anterior apresentava um risco estrutural inaceitável.</w:t>
      </w:r>
    </w:p>
    <w:p>
      <w:pPr>
        <w:spacing w:after="120"/>
      </w:pPr>
      <w:r>
        <w:t>O modelo anterior operava sob push direto na branch principal ('main'), onde qualquer ajuste disparava compilação e publicação imediata em produção. Embora dotado de 'robôs de qualidade' (verificações de rotas, linters e checagem de tipos TypeScript via tsc --noEmit), identificou-se que esses mecanismos possuem um ponto cego crítico:</w:t>
        <w:br/>
        <w:br/>
        <w:t>1. Os robôs de teste automatizados apenas validam a sintaxe e a integridade de compilação do código. Se o código compilar sem erros de digitação, os testes são aprovados com 100% de sucesso.</w:t>
        <w:br/>
        <w:t>2. Os robôs não avaliam a interpretação da intenção de negócio: caso a IA compreenda um requisito de forma equivocada no prompt, ou execute uma solução sintaticamente perfeita porém funcionalmente divergente (ex: apagar dados legítimos de perfil de cliente ou alterar inadvertidamente cálculos de regras de pontuação), o código defeituoso seria promovido direto para os usuários finais e para a Rock Encantech.</w:t>
        <w:br/>
        <w:t>3. Foi exatamente essa a causa raiz de incidentes recentes observados em sessões anteriores (como a sobrescrita indevida de dados de perfil).</w:t>
      </w:r>
    </w:p>
    <w:p>
      <w:pPr>
        <w:keepNext/>
        <w:spacing w:before="280" w:after="80"/>
      </w:pPr>
      <w:r>
        <w:rPr>
          <w:rFonts w:ascii="Arial" w:hAnsi="Arial"/>
          <w:b/>
          <w:color w:val="10B981"/>
          <w:sz w:val="20"/>
        </w:rPr>
        <w:t xml:space="preserve">[ARQUITETURA] </w:t>
      </w:r>
      <w:r>
        <w:rPr>
          <w:rFonts w:ascii="Arial Black" w:hAnsi="Arial Black"/>
          <w:color w:val="0F172A"/>
          <w:sz w:val="24"/>
        </w:rPr>
        <w:t>2. A SOLUÇÃO ARQUITETURAL: AMBIENTE DUAL &amp; PORTÃO HUMANO</w:t>
      </w:r>
    </w:p>
    <w:p>
      <w:pPr>
        <w:spacing w:after="120"/>
      </w:pPr>
      <w:r>
        <w:t>Para erradicar qualquer possibilidade de erro funcional em produção, foi desenhada e implementada a arquitetura de Ambientes Segregados com Portão Humano (Human-in-the-Loop Gate). O modelo desacopla completamente o espaço de experimentação, validação e refinamento do ambiente oficial de clientes.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Dimensão Operacional</w:t>
            </w:r>
          </w:p>
        </w:tc>
        <w:tc>
          <w:tcPr>
            <w:tcW w:type="dxa" w:w="352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🧪 Homologação (Staging)</w:t>
            </w:r>
          </w:p>
        </w:tc>
        <w:tc>
          <w:tcPr>
            <w:tcW w:type="dxa" w:w="352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🚀 Produção Oficial (Prod)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Branch do Repositório Git</w:t>
            </w:r>
          </w:p>
        </w:tc>
        <w:tc>
          <w:tcPr>
            <w:tcW w:type="dxa" w:w="35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B45309"/>
                <w:sz w:val="17"/>
              </w:rPr>
              <w:t>staging (ramo de trabalho)</w:t>
            </w:r>
          </w:p>
        </w:tc>
        <w:tc>
          <w:tcPr>
            <w:tcW w:type="dxa" w:w="35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5803D"/>
                <w:sz w:val="17"/>
              </w:rPr>
              <w:t>main (ramo protegido bloqueado)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Identificação Visual no App</w:t>
            </w:r>
          </w:p>
        </w:tc>
        <w:tc>
          <w:tcPr>
            <w:tcW w:type="dxa" w:w="35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B45309"/>
                <w:sz w:val="17"/>
              </w:rPr>
              <w:t>Badge discreta 'HOMOLOG' no topo</w:t>
            </w:r>
          </w:p>
        </w:tc>
        <w:tc>
          <w:tcPr>
            <w:tcW w:type="dxa" w:w="35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5803D"/>
                <w:sz w:val="17"/>
              </w:rPr>
              <w:t>Sem badge (visual limpo e definitivo)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Arquivo de Configuração</w:t>
            </w:r>
          </w:p>
        </w:tc>
        <w:tc>
          <w:tcPr>
            <w:tcW w:type="dxa" w:w="35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B45309"/>
                <w:sz w:val="17"/>
              </w:rPr>
              <w:t>.env.staging (VITE_APP_ENV=staging)</w:t>
            </w:r>
          </w:p>
        </w:tc>
        <w:tc>
          <w:tcPr>
            <w:tcW w:type="dxa" w:w="35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5803D"/>
                <w:sz w:val="17"/>
              </w:rPr>
              <w:t>.env.production (VITE_APP_ENV=production)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Integração Rock Encantech</w:t>
            </w:r>
          </w:p>
        </w:tc>
        <w:tc>
          <w:tcPr>
            <w:tcW w:type="dxa" w:w="35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B45309"/>
                <w:sz w:val="17"/>
              </w:rPr>
              <w:t>Ambiente Sandbox / Simulação</w:t>
            </w:r>
          </w:p>
        </w:tc>
        <w:tc>
          <w:tcPr>
            <w:tcW w:type="dxa" w:w="35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5803D"/>
                <w:sz w:val="17"/>
              </w:rPr>
              <w:t>Chaves Oficiais Produção (PUQ4cwt2...)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Base de Dados &amp; Carteiras</w:t>
            </w:r>
          </w:p>
        </w:tc>
        <w:tc>
          <w:tcPr>
            <w:tcW w:type="dxa" w:w="35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B45309"/>
                <w:sz w:val="17"/>
              </w:rPr>
              <w:t>Bancos/stores de teste isolados</w:t>
            </w:r>
          </w:p>
        </w:tc>
        <w:tc>
          <w:tcPr>
            <w:tcW w:type="dxa" w:w="35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5803D"/>
                <w:sz w:val="17"/>
              </w:rPr>
              <w:t>Ledger oficial criptografado dos clientes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Autorização de Publicação</w:t>
            </w:r>
          </w:p>
        </w:tc>
        <w:tc>
          <w:tcPr>
            <w:tcW w:type="dxa" w:w="35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B45309"/>
                <w:sz w:val="17"/>
              </w:rPr>
              <w:t>Deploy automático a cada demanda</w:t>
            </w:r>
          </w:p>
        </w:tc>
        <w:tc>
          <w:tcPr>
            <w:tcW w:type="dxa" w:w="35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5803D"/>
                <w:sz w:val="17"/>
              </w:rPr>
              <w:t>Somente pelo André após teste humano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8B5CF6"/>
          <w:sz w:val="20"/>
        </w:rPr>
        <w:t xml:space="preserve">[IMPLEMENTAÇÃO] </w:t>
      </w:r>
      <w:r>
        <w:rPr>
          <w:rFonts w:ascii="Arial Black" w:hAnsi="Arial Black"/>
          <w:color w:val="0F172A"/>
          <w:sz w:val="24"/>
        </w:rPr>
        <w:t>3. DETALHAMENTO DA IMPLEMENTAÇÃO TÉCNICA</w:t>
      </w:r>
    </w:p>
    <w:p>
      <w:pPr>
        <w:spacing w:after="80"/>
      </w:pPr>
      <w:r>
        <w:t>A implantação foi executada diretamente na raiz da arquitetura do repositório 'app_netfits', cobrindo 6 pilares de engenharia:</w:t>
      </w:r>
    </w:p>
    <w:p>
      <w:pPr>
        <w:spacing w:before="60" w:after="80"/>
      </w:pPr>
      <w:r>
        <w:rPr>
          <w:rFonts w:ascii="Arial" w:hAnsi="Arial"/>
          <w:b/>
          <w:color w:val="1E293B"/>
          <w:sz w:val="19"/>
        </w:rPr>
        <w:t xml:space="preserve">3.1 Criação e Vinculação da Branch 'staging': </w:t>
      </w:r>
      <w:r>
        <w:rPr>
          <w:rFonts w:ascii="Arial" w:hAnsi="Arial"/>
          <w:color w:val="475569"/>
          <w:sz w:val="19"/>
        </w:rPr>
        <w:t>Criada a ramificação oficial 'staging' sincronizada com o GitHub (origin/staging). Todo desenvolvimento ativo passa a residir nela. A branch 'main' foi mantida em seu estado estável (commit 77d942d).</w:t>
      </w:r>
    </w:p>
    <w:p>
      <w:pPr>
        <w:spacing w:before="60" w:after="80"/>
      </w:pPr>
      <w:r>
        <w:rPr>
          <w:rFonts w:ascii="Arial" w:hAnsi="Arial"/>
          <w:b/>
          <w:color w:val="1E293B"/>
          <w:sz w:val="19"/>
        </w:rPr>
        <w:t xml:space="preserve">3.2 Segregação de Ambientes (.env.staging e .env.production): </w:t>
      </w:r>
      <w:r>
        <w:rPr>
          <w:rFonts w:ascii="Arial" w:hAnsi="Arial"/>
          <w:color w:val="475569"/>
          <w:sz w:val="19"/>
        </w:rPr>
        <w:t>Criados arquivos formais de variáveis com injeção automática em tempo de build. Homologação roda com flags de sandbox e GA de teste; Produção roda com parâmetros oficiais e segredos protegidos na nuvem.</w:t>
      </w:r>
    </w:p>
    <w:p>
      <w:pPr>
        <w:spacing w:before="60" w:after="80"/>
      </w:pPr>
      <w:r>
        <w:rPr>
          <w:rFonts w:ascii="Arial" w:hAnsi="Arial"/>
          <w:b/>
          <w:color w:val="1E293B"/>
          <w:sz w:val="19"/>
        </w:rPr>
        <w:t xml:space="preserve">3.3 Feedback Visual Dinâmico no Cabeçalho (AppShell): </w:t>
      </w:r>
      <w:r>
        <w:rPr>
          <w:rFonts w:ascii="Arial" w:hAnsi="Arial"/>
          <w:color w:val="475569"/>
          <w:sz w:val="19"/>
        </w:rPr>
        <w:t>Atualizado o componente 'src/components/AppShell.tsx' para detectar 'VITE_APP_ENV === staging'. Em homologação, o app exibe uma etiqueta âmbar 'HOMOLOG' ao lado do logotipo Netfits. Em produção, a tag não é renderizada.</w:t>
      </w:r>
    </w:p>
    <w:p>
      <w:pPr>
        <w:spacing w:before="60" w:after="80"/>
      </w:pPr>
      <w:r>
        <w:rPr>
          <w:rFonts w:ascii="Arial" w:hAnsi="Arial"/>
          <w:b/>
          <w:color w:val="1E293B"/>
          <w:sz w:val="19"/>
        </w:rPr>
        <w:t xml:space="preserve">3.4 Quality Gate Automatizado no GitHub Actions (ci-gate.yml): </w:t>
      </w:r>
      <w:r>
        <w:rPr>
          <w:rFonts w:ascii="Arial" w:hAnsi="Arial"/>
          <w:color w:val="475569"/>
          <w:sz w:val="19"/>
        </w:rPr>
        <w:t>Implementado workflow '.github/workflows/ci-gate.yml'. Ele dispara validação em push para staging, main e pull requests, executando validação de rotas, tsc e build de produção.</w:t>
      </w:r>
    </w:p>
    <w:p>
      <w:pPr>
        <w:spacing w:before="60" w:after="80"/>
      </w:pPr>
      <w:r>
        <w:rPr>
          <w:rFonts w:ascii="Arial" w:hAnsi="Arial"/>
          <w:b/>
          <w:color w:val="1E293B"/>
          <w:sz w:val="19"/>
        </w:rPr>
        <w:t xml:space="preserve">3.5 Script de Tombamento com 9 Travas de Segurança (promote:prod): </w:t>
      </w:r>
      <w:r>
        <w:rPr>
          <w:rFonts w:ascii="Arial" w:hAnsi="Arial"/>
          <w:color w:val="475569"/>
          <w:sz w:val="19"/>
        </w:rPr>
        <w:t>Desenvolvido o utilitário 'scripts/promote-to-production.mjs' (acessível via 'npm run promote:prod'). O script impede execuções forasteiras, valida pendências, testa o build, realiza merge limpo sem fast-forward, publica na main e devolve o desenvolvedor em segurança para a staging.</w:t>
      </w:r>
    </w:p>
    <w:p>
      <w:pPr>
        <w:spacing w:before="60" w:after="80"/>
      </w:pPr>
      <w:r>
        <w:rPr>
          <w:rFonts w:ascii="Arial" w:hAnsi="Arial"/>
          <w:b/>
          <w:color w:val="1E293B"/>
          <w:sz w:val="19"/>
        </w:rPr>
        <w:t xml:space="preserve">3.6 Blindagem Institucional no GEMINI.md e Guia Operacional: </w:t>
      </w:r>
      <w:r>
        <w:rPr>
          <w:rFonts w:ascii="Arial" w:hAnsi="Arial"/>
          <w:color w:val="475569"/>
          <w:sz w:val="19"/>
        </w:rPr>
        <w:t>Revogada a diretriz antiga de deploy contínuo em main. Registrado no 'GEMINI.md' a proibição absoluta de push direto em produção por qualquer IA ou desenvolvedor, assegurando conformidade perene.</w:t>
      </w:r>
    </w:p>
    <w:p>
      <w:pPr>
        <w:keepNext/>
        <w:spacing w:before="280" w:after="80"/>
      </w:pPr>
      <w:r>
        <w:rPr>
          <w:rFonts w:ascii="Arial" w:hAnsi="Arial"/>
          <w:b/>
          <w:color w:val="0EA5E9"/>
          <w:sz w:val="20"/>
        </w:rPr>
        <w:t xml:space="preserve">[FLUXO] </w:t>
      </w:r>
      <w:r>
        <w:rPr>
          <w:rFonts w:ascii="Arial Black" w:hAnsi="Arial Black"/>
          <w:color w:val="0F172A"/>
          <w:sz w:val="24"/>
        </w:rPr>
        <w:t>4. O FLUXO DE OPERAÇÃO DIÁRIA (PASSO A PASSO)</w:t>
      </w:r>
    </w:p>
    <w:p>
      <w:pPr>
        <w:spacing w:after="120"/>
      </w:pPr>
      <w:r>
        <w:t>A partir desta implementação, o ciclo de qualquer nova solicitação do André seguirá o seguinte roteiro estrito:</w:t>
        <w:br/>
        <w:br/>
        <w:t>• Passo 1 (Demanda): O André envia o pedido ou melhoria desejada via prompt.</w:t>
        <w:br/>
        <w:t>• Passo 2 (Desenvolvimento em Staging): A IA implementa e valida os códigos exclusivamente na branch 'staging' (push para origin staging).</w:t>
        <w:br/>
        <w:t>• Passo 3 (Disponibilização em Homologação): O sistema sobe automaticamente na URL de homologação (com a tag visual 'HOMOLOG').</w:t>
        <w:br/>
        <w:t>• Passo 4 (Auditoria do André): O André acessa o link e valida se a IA entendeu o prompt e se a execução não causou desvios.</w:t>
        <w:br/>
        <w:t>• Passo 5 (Correção em caso de reprovação): Caso identifique qualquer incongruência, a correção é feita em Homologação com a Produção 100% segura e intocada.</w:t>
        <w:br/>
        <w:t>• Passo 6 (Autorização &amp; Tombamento Oficial): Uma vez aprovado pelo André com a frase 'Pode tombar para produção', o comando 'npm run promote:prod' é disparado, promovendo a versão para 'main' e atualizando a produção oficial.</w:t>
      </w:r>
    </w:p>
    <w:p>
      <w:pPr>
        <w:keepNext/>
        <w:spacing w:before="280" w:after="80"/>
      </w:pPr>
      <w:r>
        <w:rPr>
          <w:rFonts w:ascii="Arial" w:hAnsi="Arial"/>
          <w:b/>
          <w:color w:val="10B981"/>
          <w:sz w:val="20"/>
        </w:rPr>
        <w:t xml:space="preserve">[CERTIFICAÇÃO] </w:t>
      </w:r>
      <w:r>
        <w:rPr>
          <w:rFonts w:ascii="Arial Black" w:hAnsi="Arial Black"/>
          <w:color w:val="0F172A"/>
          <w:sz w:val="24"/>
        </w:rPr>
        <w:t>5. CONCLUSÃO E CERTIFICAÇÃO DE GOVERNANÇA</w:t>
      </w:r>
    </w:p>
    <w:p>
      <w:pPr>
        <w:spacing w:after="120"/>
      </w:pPr>
      <w:r>
        <w:t>Com esta entrega, a Netfits Plataforma Digital S.A. elimina o risco de quebras não planejadas em produção causadas por desvios de interpretação de prompts ou alterações intempestivas de código. A plataforma atinge o padrão de excelência de governança de software exigido por investidores, garantindo estabilidade contínua para os parceiros corporativos (Rock Encantech) e atletas.</w:t>
      </w:r>
    </w:p>
    <w:p>
      <w:pPr>
        <w:spacing w:after="240"/>
      </w:pPr>
    </w:p>
    <w:p>
      <w:pPr>
        <w:spacing w:before="280" w:after="0"/>
      </w:pPr>
      <w:r>
        <w:rPr>
          <w:rFonts w:ascii="Arial" w:hAnsi="Arial"/>
          <w:i/>
          <w:color w:val="64748B"/>
          <w:sz w:val="17"/>
        </w:rPr>
        <w:t>_____________________________________________________________________</w:t>
        <w:br/>
        <w:t>André Gallo | Diretor Executivo &amp; Fundador (CEO / Owner)</w:t>
        <w:br/>
        <w:t>Antigravity AI | Engenharia de Arquitetura de Software &amp; FinOps</w:t>
        <w:br/>
        <w:t>Netfits Plataforma Digital S.A. — Certificação de Produção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