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41.png" ContentType="image/png"/>
  <Override PartName="/word/media/rId173.png" ContentType="image/png"/>
  <Override PartName="/word/media/rId206.png" ContentType="image/png"/>
  <Override PartName="/word/media/rId227.png" ContentType="image/png"/>
  <Override PartName="/word/media/rId218.png" ContentType="image/png"/>
  <Override PartName="/word/media/rId252.png" ContentType="image/png"/>
  <Override PartName="/word/media/rId277.png" ContentType="image/png"/>
  <Override PartName="/word/media/rId301.png" ContentType="image/png"/>
  <Override PartName="/word/media/rId314.png" ContentType="image/png"/>
  <Override PartName="/word/media/rId340.png" ContentType="image/png"/>
  <Override PartName="/word/media/rId330.png" ContentType="image/png"/>
  <Override PartName="/word/media/rId38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BodyText"/>
      </w:pPr>
      <w:r>
        <w:rPr>
          <w:b/>
          <w:bCs/>
        </w:rPr>
        <w:t xml:space="preserve">Inability to prove impact</w:t>
      </w:r>
      <w:r>
        <w:t xml:space="preserve">: Systems that cannot demonstrate public health value</w:t>
      </w:r>
    </w:p>
    <w:p>
      <w:pPr>
        <w:pStyle w:val="BodyText"/>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rPr>
          <w:b/>
          <w:bCs/>
        </w:rPr>
        <w:t xml:space="preserve">Both technical and public health teams share responsibility for proving the value of their work.</w:t>
      </w:r>
      <w:r>
        <w:t xml:space="preserve"> </w:t>
      </w:r>
      <w:r>
        <w:t xml:space="preserve">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14" w:name="terminology-dictionary"/>
    <w:p>
      <w:pPr>
        <w:pStyle w:val="Heading1"/>
      </w:pPr>
      <w:r>
        <w:t xml:space="preserve">Terminology Dictionary</w:t>
      </w:r>
    </w:p>
    <w:bookmarkStart w:id="113"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12"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112"/>
    <w:bookmarkEnd w:id="113"/>
    <w:bookmarkEnd w:id="114"/>
    <w:bookmarkStart w:id="156" w:name="planning-needs-assessment"/>
    <w:p>
      <w:pPr>
        <w:pStyle w:val="Heading1"/>
      </w:pPr>
      <w:r>
        <w:t xml:space="preserve">Planning &amp; Needs Assessment</w:t>
      </w:r>
    </w:p>
    <w:bookmarkStart w:id="155"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15"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15"/>
    <w:bookmarkStart w:id="118"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2"/>
        </w:numPr>
      </w:pPr>
      <w:r>
        <w:t xml:space="preserve">What terminology gaps exist between the technical and programmatic teams?</w:t>
      </w:r>
    </w:p>
    <w:p>
      <w:pPr>
        <w:pStyle w:val="Compact"/>
        <w:numPr>
          <w:ilvl w:val="0"/>
          <w:numId w:val="1022"/>
        </w:numPr>
      </w:pPr>
      <w:r>
        <w:t xml:space="preserve">What training or facilitation will help teams communicate effectively?</w:t>
      </w:r>
    </w:p>
    <w:p>
      <w:pPr>
        <w:pStyle w:val="Compact"/>
        <w:numPr>
          <w:ilvl w:val="0"/>
          <w:numId w:val="1022"/>
        </w:numPr>
      </w:pPr>
      <w:r>
        <w:t xml:space="preserve">Who will serve as translators or bridges between domains?</w:t>
      </w:r>
    </w:p>
    <w:p>
      <w:pPr>
        <w:pStyle w:val="Compact"/>
        <w:numPr>
          <w:ilvl w:val="0"/>
          <w:numId w:val="1022"/>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3"/>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3"/>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Users\andre\AppData\Local\Programs\Quarto\share\formats\docx\note.png" id="1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18"/>
    <w:bookmarkStart w:id="123" w:name="defining-the-problem"/>
    <w:p>
      <w:pPr>
        <w:pStyle w:val="Heading3"/>
      </w:pPr>
      <w:r>
        <w:t xml:space="preserve">Defining the Problem</w:t>
      </w:r>
    </w:p>
    <w:bookmarkStart w:id="11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4"/>
        </w:numPr>
      </w:pPr>
      <w:r>
        <w:t xml:space="preserve">Revenue decline</w:t>
      </w:r>
    </w:p>
    <w:p>
      <w:pPr>
        <w:pStyle w:val="Compact"/>
        <w:numPr>
          <w:ilvl w:val="0"/>
          <w:numId w:val="1024"/>
        </w:numPr>
      </w:pPr>
      <w:r>
        <w:t xml:space="preserve">Operational inefficiency</w:t>
      </w:r>
    </w:p>
    <w:p>
      <w:pPr>
        <w:pStyle w:val="Compact"/>
        <w:numPr>
          <w:ilvl w:val="0"/>
          <w:numId w:val="1024"/>
        </w:numPr>
      </w:pPr>
      <w:r>
        <w:t xml:space="preserve">Compliance gaps</w:t>
      </w:r>
    </w:p>
    <w:p>
      <w:pPr>
        <w:pStyle w:val="Compact"/>
        <w:numPr>
          <w:ilvl w:val="0"/>
          <w:numId w:val="1024"/>
        </w:numPr>
      </w:pPr>
      <w:r>
        <w:t xml:space="preserve">Competitive pressure</w:t>
      </w:r>
    </w:p>
    <w:p>
      <w:pPr>
        <w:pStyle w:val="Compact"/>
        <w:numPr>
          <w:ilvl w:val="0"/>
          <w:numId w:val="1024"/>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19"/>
    <w:bookmarkStart w:id="12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5"/>
        </w:numPr>
      </w:pPr>
      <w:r>
        <w:t xml:space="preserve">Disease incidence and prevalence</w:t>
      </w:r>
    </w:p>
    <w:p>
      <w:pPr>
        <w:pStyle w:val="Compact"/>
        <w:numPr>
          <w:ilvl w:val="0"/>
          <w:numId w:val="1025"/>
        </w:numPr>
      </w:pPr>
      <w:r>
        <w:t xml:space="preserve">Health disparities across demographics</w:t>
      </w:r>
    </w:p>
    <w:p>
      <w:pPr>
        <w:pStyle w:val="Compact"/>
        <w:numPr>
          <w:ilvl w:val="0"/>
          <w:numId w:val="1025"/>
        </w:numPr>
      </w:pPr>
      <w:r>
        <w:t xml:space="preserve">Service access gaps</w:t>
      </w:r>
    </w:p>
    <w:p>
      <w:pPr>
        <w:pStyle w:val="Compact"/>
        <w:numPr>
          <w:ilvl w:val="0"/>
          <w:numId w:val="1025"/>
        </w:numPr>
      </w:pPr>
      <w:r>
        <w:t xml:space="preserve">Outbreak patterns</w:t>
      </w:r>
    </w:p>
    <w:p>
      <w:pPr>
        <w:pStyle w:val="Compact"/>
        <w:numPr>
          <w:ilvl w:val="0"/>
          <w:numId w:val="1025"/>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andre\AppData\Local\Programs\Quarto\share\formats\docx\note.png" id="1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22"/>
    <w:bookmarkEnd w:id="123"/>
    <w:bookmarkStart w:id="126" w:name="current-state-analysis"/>
    <w:p>
      <w:pPr>
        <w:pStyle w:val="Heading3"/>
      </w:pPr>
      <w:r>
        <w:t xml:space="preserve">Current State Analysis</w:t>
      </w:r>
    </w:p>
    <w:bookmarkStart w:id="12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6"/>
        </w:numPr>
      </w:pPr>
      <w:r>
        <w:t xml:space="preserve">Process maps (BPMN diagrams)</w:t>
      </w:r>
    </w:p>
    <w:p>
      <w:pPr>
        <w:pStyle w:val="Compact"/>
        <w:numPr>
          <w:ilvl w:val="0"/>
          <w:numId w:val="1026"/>
        </w:numPr>
      </w:pPr>
      <w:r>
        <w:t xml:space="preserve">System inventories</w:t>
      </w:r>
    </w:p>
    <w:p>
      <w:pPr>
        <w:pStyle w:val="Compact"/>
        <w:numPr>
          <w:ilvl w:val="0"/>
          <w:numId w:val="1026"/>
        </w:numPr>
      </w:pPr>
      <w:r>
        <w:t xml:space="preserve">Pain point interviews</w:t>
      </w:r>
    </w:p>
    <w:p>
      <w:pPr>
        <w:pStyle w:val="Compact"/>
        <w:numPr>
          <w:ilvl w:val="0"/>
          <w:numId w:val="1026"/>
        </w:numPr>
      </w:pPr>
      <w:r>
        <w:t xml:space="preserve">Performance metrics</w:t>
      </w:r>
    </w:p>
    <w:p>
      <w:pPr>
        <w:pStyle w:val="Compact"/>
        <w:numPr>
          <w:ilvl w:val="0"/>
          <w:numId w:val="1026"/>
        </w:numPr>
      </w:pPr>
      <w:r>
        <w:t xml:space="preserve">Technical debt assessment</w:t>
      </w:r>
    </w:p>
    <w:p>
      <w:pPr>
        <w:pStyle w:val="FirstParagraph"/>
      </w:pPr>
      <w:r>
        <w:rPr>
          <w:b/>
          <w:bCs/>
        </w:rPr>
        <w:t xml:space="preserve">PH Epidemiological Baseline:</w:t>
      </w:r>
    </w:p>
    <w:p>
      <w:pPr>
        <w:pStyle w:val="Compact"/>
        <w:numPr>
          <w:ilvl w:val="0"/>
          <w:numId w:val="1027"/>
        </w:numPr>
      </w:pPr>
      <w:r>
        <w:t xml:space="preserve">Disease surveillance data</w:t>
      </w:r>
    </w:p>
    <w:p>
      <w:pPr>
        <w:pStyle w:val="Compact"/>
        <w:numPr>
          <w:ilvl w:val="0"/>
          <w:numId w:val="1027"/>
        </w:numPr>
      </w:pPr>
      <w:r>
        <w:t xml:space="preserve">Demographic health profiles</w:t>
      </w:r>
    </w:p>
    <w:p>
      <w:pPr>
        <w:pStyle w:val="Compact"/>
        <w:numPr>
          <w:ilvl w:val="0"/>
          <w:numId w:val="1027"/>
        </w:numPr>
      </w:pPr>
      <w:r>
        <w:t xml:space="preserve">Service utilization patterns</w:t>
      </w:r>
    </w:p>
    <w:p>
      <w:pPr>
        <w:pStyle w:val="Compact"/>
        <w:numPr>
          <w:ilvl w:val="0"/>
          <w:numId w:val="1027"/>
        </w:numPr>
      </w:pPr>
      <w:r>
        <w:t xml:space="preserve">Health equity indicators</w:t>
      </w:r>
    </w:p>
    <w:p>
      <w:pPr>
        <w:pStyle w:val="Compact"/>
        <w:numPr>
          <w:ilvl w:val="0"/>
          <w:numId w:val="1027"/>
        </w:numPr>
      </w:pPr>
      <w:r>
        <w:t xml:space="preserve">Environmental and social determinants</w:t>
      </w:r>
    </w:p>
    <w:bookmarkEnd w:id="124"/>
    <w:bookmarkStart w:id="12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25"/>
    <w:bookmarkEnd w:id="126"/>
    <w:bookmarkStart w:id="131" w:name="future-state-vision"/>
    <w:p>
      <w:pPr>
        <w:pStyle w:val="Heading3"/>
      </w:pPr>
      <w:r>
        <w:t xml:space="preserve">Future State Vision</w:t>
      </w:r>
    </w:p>
    <w:bookmarkStart w:id="12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8"/>
        </w:numPr>
      </w:pPr>
      <w:r>
        <w:t xml:space="preserve">System capabilities and features</w:t>
      </w:r>
    </w:p>
    <w:p>
      <w:pPr>
        <w:pStyle w:val="Compact"/>
        <w:numPr>
          <w:ilvl w:val="0"/>
          <w:numId w:val="1028"/>
        </w:numPr>
      </w:pPr>
      <w:r>
        <w:t xml:space="preserve">Process improvements</w:t>
      </w:r>
    </w:p>
    <w:p>
      <w:pPr>
        <w:pStyle w:val="Compact"/>
        <w:numPr>
          <w:ilvl w:val="0"/>
          <w:numId w:val="1028"/>
        </w:numPr>
      </w:pPr>
      <w:r>
        <w:t xml:space="preserve">Performance targets</w:t>
      </w:r>
    </w:p>
    <w:p>
      <w:pPr>
        <w:pStyle w:val="Compact"/>
        <w:numPr>
          <w:ilvl w:val="0"/>
          <w:numId w:val="1028"/>
        </w:numPr>
      </w:pPr>
      <w:r>
        <w:t xml:space="preserve">Technical architecture</w:t>
      </w:r>
    </w:p>
    <w:p>
      <w:pPr>
        <w:pStyle w:val="Compact"/>
        <w:numPr>
          <w:ilvl w:val="0"/>
          <w:numId w:val="1028"/>
        </w:numPr>
      </w:pPr>
      <w:r>
        <w:t xml:space="preserve">Integration landscape</w:t>
      </w:r>
    </w:p>
    <w:p>
      <w:pPr>
        <w:pStyle w:val="FirstParagraph"/>
      </w:pPr>
      <w:r>
        <w:rPr>
          <w:b/>
          <w:bCs/>
        </w:rPr>
        <w:t xml:space="preserve">PH Program Goals:</w:t>
      </w:r>
    </w:p>
    <w:p>
      <w:pPr>
        <w:pStyle w:val="Compact"/>
        <w:numPr>
          <w:ilvl w:val="0"/>
          <w:numId w:val="1029"/>
        </w:numPr>
      </w:pPr>
      <w:r>
        <w:t xml:space="preserve">Health outcome improvements</w:t>
      </w:r>
    </w:p>
    <w:p>
      <w:pPr>
        <w:pStyle w:val="Compact"/>
        <w:numPr>
          <w:ilvl w:val="0"/>
          <w:numId w:val="1029"/>
        </w:numPr>
      </w:pPr>
      <w:r>
        <w:t xml:space="preserve">Disparity reductions</w:t>
      </w:r>
    </w:p>
    <w:p>
      <w:pPr>
        <w:pStyle w:val="Compact"/>
        <w:numPr>
          <w:ilvl w:val="0"/>
          <w:numId w:val="1029"/>
        </w:numPr>
      </w:pPr>
      <w:r>
        <w:t xml:space="preserve">Service access expansion</w:t>
      </w:r>
    </w:p>
    <w:p>
      <w:pPr>
        <w:pStyle w:val="Compact"/>
        <w:numPr>
          <w:ilvl w:val="0"/>
          <w:numId w:val="1029"/>
        </w:numPr>
      </w:pPr>
      <w:r>
        <w:t xml:space="preserve">Quality metrics</w:t>
      </w:r>
    </w:p>
    <w:p>
      <w:pPr>
        <w:pStyle w:val="Compact"/>
        <w:numPr>
          <w:ilvl w:val="0"/>
          <w:numId w:val="1029"/>
        </w:numPr>
      </w:pPr>
      <w:r>
        <w:t xml:space="preserve">Population health indicators</w:t>
      </w:r>
    </w:p>
    <w:bookmarkEnd w:id="127"/>
    <w:bookmarkStart w:id="13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Users\andre\AppData\Local\Programs\Quarto\share\formats\docx\note.png" id="1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30"/>
    <w:bookmarkEnd w:id="131"/>
    <w:bookmarkStart w:id="140"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32"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0"/>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0"/>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32"/>
    <w:bookmarkStart w:id="135"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andre\AppData\Local\Programs\Quarto\share\formats\docx\note.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1"/>
              </w:numPr>
            </w:pPr>
            <w:r>
              <w:rPr>
                <w:b/>
                <w:bCs/>
              </w:rPr>
              <w:t xml:space="preserve">Data Completeness</w:t>
            </w:r>
            <w:r>
              <w:t xml:space="preserve">: Increase from 87% to 95% within 18 months</w:t>
            </w:r>
          </w:p>
          <w:p>
            <w:pPr>
              <w:pStyle w:val="Compact"/>
              <w:numPr>
                <w:ilvl w:val="1"/>
                <w:numId w:val="1032"/>
              </w:numPr>
            </w:pPr>
            <w:r>
              <w:rPr>
                <w:i/>
                <w:iCs/>
              </w:rPr>
              <w:t xml:space="preserve">Technical benefit</w:t>
            </w:r>
            <w:r>
              <w:t xml:space="preserve">: Meets CDC/NPCR reporting standards</w:t>
            </w:r>
          </w:p>
          <w:p>
            <w:pPr>
              <w:pStyle w:val="Compact"/>
              <w:numPr>
                <w:ilvl w:val="1"/>
                <w:numId w:val="1032"/>
              </w:numPr>
            </w:pPr>
            <w:r>
              <w:rPr>
                <w:i/>
                <w:iCs/>
              </w:rPr>
              <w:t xml:space="preserve">Health outcome</w:t>
            </w:r>
            <w:r>
              <w:t xml:space="preserve">: Approximately 960 additional cases fully documented, strengthening survival analyses and disparity assessments</w:t>
            </w:r>
          </w:p>
          <w:p>
            <w:pPr>
              <w:pStyle w:val="Compact"/>
              <w:numPr>
                <w:ilvl w:val="0"/>
                <w:numId w:val="1031"/>
              </w:numPr>
            </w:pPr>
            <w:r>
              <w:rPr>
                <w:b/>
                <w:bCs/>
              </w:rPr>
              <w:t xml:space="preserve">Reporting Timeliness</w:t>
            </w:r>
            <w:r>
              <w:t xml:space="preserve">: Reduce lag from 6 months to 3 months</w:t>
            </w:r>
          </w:p>
          <w:p>
            <w:pPr>
              <w:pStyle w:val="Compact"/>
              <w:numPr>
                <w:ilvl w:val="1"/>
                <w:numId w:val="1033"/>
              </w:numPr>
            </w:pPr>
            <w:r>
              <w:rPr>
                <w:i/>
                <w:iCs/>
              </w:rPr>
              <w:t xml:space="preserve">Technical benefit</w:t>
            </w:r>
            <w:r>
              <w:t xml:space="preserve">: Automated data pipelines and validation</w:t>
            </w:r>
          </w:p>
          <w:p>
            <w:pPr>
              <w:pStyle w:val="Compact"/>
              <w:numPr>
                <w:ilvl w:val="1"/>
                <w:numId w:val="1033"/>
              </w:numPr>
            </w:pPr>
            <w:r>
              <w:rPr>
                <w:i/>
                <w:iCs/>
              </w:rPr>
              <w:t xml:space="preserve">Health outcome</w:t>
            </w:r>
            <w:r>
              <w:t xml:space="preserve">: Policy decisions about screening programs informed by more current data</w:t>
            </w:r>
          </w:p>
          <w:p>
            <w:pPr>
              <w:pStyle w:val="Compact"/>
              <w:numPr>
                <w:ilvl w:val="0"/>
                <w:numId w:val="1031"/>
              </w:numPr>
            </w:pPr>
            <w:r>
              <w:rPr>
                <w:b/>
                <w:bCs/>
              </w:rPr>
              <w:t xml:space="preserve">Workflow Efficiency</w:t>
            </w:r>
            <w:r>
              <w:t xml:space="preserve">: Reduce abstraction time from 15 to 8 minutes per case</w:t>
            </w:r>
          </w:p>
          <w:p>
            <w:pPr>
              <w:pStyle w:val="Compact"/>
              <w:numPr>
                <w:ilvl w:val="1"/>
                <w:numId w:val="1034"/>
              </w:numPr>
            </w:pPr>
            <w:r>
              <w:rPr>
                <w:i/>
                <w:iCs/>
              </w:rPr>
              <w:t xml:space="preserve">Technical benefit</w:t>
            </w:r>
            <w:r>
              <w:t xml:space="preserve">: Improved UI/UX and automated coding suggestions</w:t>
            </w:r>
          </w:p>
          <w:p>
            <w:pPr>
              <w:pStyle w:val="Compact"/>
              <w:numPr>
                <w:ilvl w:val="1"/>
                <w:numId w:val="1034"/>
              </w:numPr>
            </w:pPr>
            <w:r>
              <w:rPr>
                <w:i/>
                <w:iCs/>
              </w:rPr>
              <w:t xml:space="preserve">Health outcome</w:t>
            </w:r>
            <w:r>
              <w:t xml:space="preserve">: Registrars can process more cases or dedicate time to complex case resolution</w:t>
            </w:r>
          </w:p>
          <w:p>
            <w:pPr>
              <w:pStyle w:val="Compact"/>
              <w:numPr>
                <w:ilvl w:val="0"/>
                <w:numId w:val="1031"/>
              </w:numPr>
            </w:pPr>
            <w:r>
              <w:rPr>
                <w:b/>
                <w:bCs/>
              </w:rPr>
              <w:t xml:space="preserve">Disparity Identification</w:t>
            </w:r>
            <w:r>
              <w:t xml:space="preserve">: Enable real-time geographic and demographic analysis</w:t>
            </w:r>
          </w:p>
          <w:p>
            <w:pPr>
              <w:pStyle w:val="Compact"/>
              <w:numPr>
                <w:ilvl w:val="1"/>
                <w:numId w:val="1035"/>
              </w:numPr>
            </w:pPr>
            <w:r>
              <w:rPr>
                <w:i/>
                <w:iCs/>
              </w:rPr>
              <w:t xml:space="preserve">Technical benefit</w:t>
            </w:r>
            <w:r>
              <w:t xml:space="preserve">: Analytics dashboard with interactive mapping</w:t>
            </w:r>
          </w:p>
          <w:p>
            <w:pPr>
              <w:pStyle w:val="Compact"/>
              <w:numPr>
                <w:ilvl w:val="1"/>
                <w:numId w:val="1035"/>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35"/>
    <w:bookmarkStart w:id="138"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important.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36"/>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36"/>
              </w:numPr>
            </w:pPr>
            <w:r>
              <w:t xml:space="preserve">Designing data models that support both operational reporting and outcome analysis</w:t>
            </w:r>
          </w:p>
          <w:p>
            <w:pPr>
              <w:pStyle w:val="Compact"/>
              <w:numPr>
                <w:ilvl w:val="0"/>
                <w:numId w:val="1036"/>
              </w:numPr>
            </w:pPr>
            <w:r>
              <w:t xml:space="preserve">Building dashboards and export functions that generate grant-ready reports automatically</w:t>
            </w:r>
          </w:p>
          <w:p>
            <w:pPr>
              <w:pStyle w:val="Compact"/>
              <w:numPr>
                <w:ilvl w:val="0"/>
                <w:numId w:val="1036"/>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38"/>
    <w:bookmarkStart w:id="139"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39"/>
    <w:bookmarkEnd w:id="140"/>
    <w:bookmarkStart w:id="147" w:name="Xe3d04b48420eba1df1451696b31e395edf92bf6"/>
    <w:p>
      <w:pPr>
        <w:pStyle w:val="Heading3"/>
      </w:pPr>
      <w:r>
        <w:t xml:space="preserve">Stakeholder / Community Partner Identification</w:t>
      </w:r>
    </w:p>
    <w:bookmarkStart w:id="145"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44" w:name="fig-stakeholder-map"/>
          <w:p>
            <w:pPr>
              <w:jc w:val="center"/>
            </w:pPr>
            <w:r>
              <w:drawing>
                <wp:inline>
                  <wp:extent cx="6400800" cy="2443689"/>
                  <wp:effectExtent b="0" l="0" r="0" t="0"/>
                  <wp:docPr descr="" title="" id="142" name="Picture"/>
                  <a:graphic>
                    <a:graphicData uri="http://schemas.openxmlformats.org/drawingml/2006/picture">
                      <pic:pic>
                        <pic:nvPicPr>
                          <pic:cNvPr descr="chapters/04-planning_files\figure-docx\mermaid-figure-1.png" id="143" name="Picture"/>
                          <pic:cNvPicPr>
                            <a:picLocks noChangeArrowheads="1" noChangeAspect="1"/>
                          </pic:cNvPicPr>
                        </pic:nvPicPr>
                        <pic:blipFill>
                          <a:blip r:embed="rId141"/>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44"/>
        </w:tc>
      </w:tr>
    </w:tbl>
    <w:bookmarkEnd w:id="145"/>
    <w:bookmarkStart w:id="146"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46"/>
    <w:bookmarkEnd w:id="147"/>
    <w:bookmarkStart w:id="151" w:name="feasibility-assessment"/>
    <w:p>
      <w:pPr>
        <w:pStyle w:val="Heading3"/>
      </w:pPr>
      <w:r>
        <w:t xml:space="preserve">Feasibility Assessment</w:t>
      </w:r>
    </w:p>
    <w:bookmarkStart w:id="150"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37"/>
        </w:numPr>
      </w:pPr>
      <w:r>
        <w:t xml:space="preserve">Technical feasibility (Can we build it?)</w:t>
      </w:r>
    </w:p>
    <w:p>
      <w:pPr>
        <w:pStyle w:val="Compact"/>
        <w:numPr>
          <w:ilvl w:val="0"/>
          <w:numId w:val="1037"/>
        </w:numPr>
      </w:pPr>
      <w:r>
        <w:t xml:space="preserve">Economic feasibility (Can we afford it?)</w:t>
      </w:r>
    </w:p>
    <w:p>
      <w:pPr>
        <w:pStyle w:val="Compact"/>
        <w:numPr>
          <w:ilvl w:val="0"/>
          <w:numId w:val="1037"/>
        </w:numPr>
      </w:pPr>
      <w:r>
        <w:t xml:space="preserve">Operational feasibility (Can we run it?)</w:t>
      </w:r>
    </w:p>
    <w:p>
      <w:pPr>
        <w:pStyle w:val="Compact"/>
        <w:numPr>
          <w:ilvl w:val="0"/>
          <w:numId w:val="1037"/>
        </w:numPr>
      </w:pPr>
      <w:r>
        <w:t xml:space="preserve">Schedule feasibility (Can we deliver on time?)</w:t>
      </w:r>
    </w:p>
    <w:p>
      <w:pPr>
        <w:pStyle w:val="FirstParagraph"/>
      </w:pPr>
      <w:r>
        <w:rPr>
          <w:b/>
          <w:bCs/>
        </w:rPr>
        <w:t xml:space="preserve">PH Feasibility Dimensions:</w:t>
      </w:r>
    </w:p>
    <w:p>
      <w:pPr>
        <w:pStyle w:val="Compact"/>
        <w:numPr>
          <w:ilvl w:val="0"/>
          <w:numId w:val="1038"/>
        </w:numPr>
      </w:pPr>
      <w:r>
        <w:t xml:space="preserve">Evidence base (Does the intervention work?)</w:t>
      </w:r>
    </w:p>
    <w:p>
      <w:pPr>
        <w:pStyle w:val="Compact"/>
        <w:numPr>
          <w:ilvl w:val="0"/>
          <w:numId w:val="1038"/>
        </w:numPr>
      </w:pPr>
      <w:r>
        <w:t xml:space="preserve">Resource availability (Do we have funding, staff?)</w:t>
      </w:r>
    </w:p>
    <w:p>
      <w:pPr>
        <w:pStyle w:val="Compact"/>
        <w:numPr>
          <w:ilvl w:val="0"/>
          <w:numId w:val="1038"/>
        </w:numPr>
      </w:pPr>
      <w:r>
        <w:t xml:space="preserve">Political will (Is there leadership support?)</w:t>
      </w:r>
    </w:p>
    <w:p>
      <w:pPr>
        <w:pStyle w:val="Compact"/>
        <w:numPr>
          <w:ilvl w:val="0"/>
          <w:numId w:val="1038"/>
        </w:numPr>
      </w:pPr>
      <w:r>
        <w:t xml:space="preserve">Community readiness (Will the population engage?)</w:t>
      </w:r>
    </w:p>
    <w:p>
      <w:pPr>
        <w:pStyle w:val="Compact"/>
        <w:numPr>
          <w:ilvl w:val="0"/>
          <w:numId w:val="1038"/>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tip.png" id="1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50"/>
    <w:bookmarkEnd w:id="151"/>
    <w:bookmarkStart w:id="152"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52"/>
    <w:bookmarkStart w:id="153"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39"/>
        </w:numPr>
      </w:pPr>
      <w:r>
        <w:t xml:space="preserve">Underestimating regulatory constraints (HIPAA, IRB)</w:t>
      </w:r>
    </w:p>
    <w:p>
      <w:pPr>
        <w:pStyle w:val="Compact"/>
        <w:numPr>
          <w:ilvl w:val="0"/>
          <w:numId w:val="1039"/>
        </w:numPr>
      </w:pPr>
      <w:r>
        <w:t xml:space="preserve">Ignoring health equity implications</w:t>
      </w:r>
    </w:p>
    <w:p>
      <w:pPr>
        <w:pStyle w:val="Compact"/>
        <w:numPr>
          <w:ilvl w:val="0"/>
          <w:numId w:val="1039"/>
        </w:numPr>
      </w:pPr>
      <w:r>
        <w:t xml:space="preserve">Treating clinical workflows like business processes</w:t>
      </w:r>
    </w:p>
    <w:p>
      <w:pPr>
        <w:pStyle w:val="Compact"/>
        <w:numPr>
          <w:ilvl w:val="0"/>
          <w:numId w:val="1039"/>
        </w:numPr>
      </w:pPr>
      <w:r>
        <w:t xml:space="preserve">Missing grant-cycle dependencies</w:t>
      </w:r>
    </w:p>
    <w:p>
      <w:pPr>
        <w:pStyle w:val="FirstParagraph"/>
      </w:pPr>
      <w:r>
        <w:rPr>
          <w:b/>
          <w:bCs/>
        </w:rPr>
        <w:t xml:space="preserve">For PH professionals working with BA:</w:t>
      </w:r>
    </w:p>
    <w:p>
      <w:pPr>
        <w:pStyle w:val="Compact"/>
        <w:numPr>
          <w:ilvl w:val="0"/>
          <w:numId w:val="1040"/>
        </w:numPr>
      </w:pPr>
      <w:r>
        <w:t xml:space="preserve">Providing needs assessments instead of requirements</w:t>
      </w:r>
    </w:p>
    <w:p>
      <w:pPr>
        <w:pStyle w:val="Compact"/>
        <w:numPr>
          <w:ilvl w:val="0"/>
          <w:numId w:val="1040"/>
        </w:numPr>
      </w:pPr>
      <w:r>
        <w:t xml:space="preserve">Assuming IT teams understand clinical context</w:t>
      </w:r>
    </w:p>
    <w:p>
      <w:pPr>
        <w:pStyle w:val="Compact"/>
        <w:numPr>
          <w:ilvl w:val="0"/>
          <w:numId w:val="1040"/>
        </w:numPr>
      </w:pPr>
      <w:r>
        <w:t xml:space="preserve">Underspecifying data quality needs</w:t>
      </w:r>
    </w:p>
    <w:p>
      <w:pPr>
        <w:pStyle w:val="Compact"/>
        <w:numPr>
          <w:ilvl w:val="0"/>
          <w:numId w:val="1040"/>
        </w:numPr>
      </w:pPr>
      <w:r>
        <w:t xml:space="preserve">Ignoring change management complexity</w:t>
      </w:r>
    </w:p>
    <w:bookmarkEnd w:id="153"/>
    <w:bookmarkStart w:id="154"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54"/>
    <w:bookmarkEnd w:id="155"/>
    <w:bookmarkEnd w:id="156"/>
    <w:bookmarkStart w:id="198" w:name="elicitation-engagement"/>
    <w:p>
      <w:pPr>
        <w:pStyle w:val="Heading1"/>
      </w:pPr>
      <w:r>
        <w:t xml:space="preserve">Elicitation &amp; Engagement</w:t>
      </w:r>
    </w:p>
    <w:bookmarkStart w:id="197"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57"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57"/>
    <w:bookmarkStart w:id="161" w:name="elicitation-techniques-mapped"/>
    <w:p>
      <w:pPr>
        <w:pStyle w:val="Heading3"/>
      </w:pPr>
      <w:r>
        <w:t xml:space="preserve">Elicitation Techniques Mapped</w:t>
      </w:r>
    </w:p>
    <w:bookmarkStart w:id="160"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1"/>
        </w:numPr>
      </w:pPr>
      <w:r>
        <w:t xml:space="preserve">Focus on workflow, pain points, desired features</w:t>
      </w:r>
    </w:p>
    <w:p>
      <w:pPr>
        <w:pStyle w:val="Compact"/>
        <w:numPr>
          <w:ilvl w:val="0"/>
          <w:numId w:val="1041"/>
        </w:numPr>
      </w:pPr>
      <w:r>
        <w:t xml:space="preserve">Structured around use cases or process steps</w:t>
      </w:r>
    </w:p>
    <w:p>
      <w:pPr>
        <w:pStyle w:val="Compact"/>
        <w:numPr>
          <w:ilvl w:val="0"/>
          <w:numId w:val="1041"/>
        </w:numPr>
      </w:pPr>
      <w:r>
        <w:t xml:space="preserve">Document functional and non-functional requirements</w:t>
      </w:r>
    </w:p>
    <w:p>
      <w:pPr>
        <w:pStyle w:val="FirstParagraph"/>
      </w:pPr>
      <w:r>
        <w:rPr>
          <w:b/>
          <w:bCs/>
        </w:rPr>
        <w:t xml:space="preserve">PH Key Informant Interviews:</w:t>
      </w:r>
    </w:p>
    <w:p>
      <w:pPr>
        <w:pStyle w:val="Compact"/>
        <w:numPr>
          <w:ilvl w:val="0"/>
          <w:numId w:val="1042"/>
        </w:numPr>
      </w:pPr>
      <w:r>
        <w:t xml:space="preserve">Focus on community needs, barriers, facilitators</w:t>
      </w:r>
    </w:p>
    <w:p>
      <w:pPr>
        <w:pStyle w:val="Compact"/>
        <w:numPr>
          <w:ilvl w:val="0"/>
          <w:numId w:val="1042"/>
        </w:numPr>
      </w:pPr>
      <w:r>
        <w:t xml:space="preserve">May explore cultural context, health beliefs</w:t>
      </w:r>
    </w:p>
    <w:p>
      <w:pPr>
        <w:pStyle w:val="Compact"/>
        <w:numPr>
          <w:ilvl w:val="0"/>
          <w:numId w:val="1042"/>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60"/>
    <w:bookmarkEnd w:id="161"/>
    <w:bookmarkStart w:id="169"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3"/>
        </w:numPr>
      </w:pPr>
      <w:r>
        <w:t xml:space="preserve">Facilitated session with defined agenda</w:t>
      </w:r>
    </w:p>
    <w:p>
      <w:pPr>
        <w:pStyle w:val="Compact"/>
        <w:numPr>
          <w:ilvl w:val="0"/>
          <w:numId w:val="1043"/>
        </w:numPr>
      </w:pPr>
      <w:r>
        <w:t xml:space="preserve">Uses techniques like brainstorming, affinity mapping</w:t>
      </w:r>
    </w:p>
    <w:p>
      <w:pPr>
        <w:pStyle w:val="Compact"/>
        <w:numPr>
          <w:ilvl w:val="0"/>
          <w:numId w:val="1043"/>
        </w:numPr>
      </w:pPr>
      <w:r>
        <w:t xml:space="preserve">Produces prioritized requirement lists</w:t>
      </w:r>
    </w:p>
    <w:p>
      <w:pPr>
        <w:pStyle w:val="Compact"/>
        <w:numPr>
          <w:ilvl w:val="0"/>
          <w:numId w:val="1043"/>
        </w:numPr>
      </w:pPr>
      <w:r>
        <w:t xml:space="preserve">Resolves conflicts through negotiation</w:t>
      </w:r>
    </w:p>
    <w:p>
      <w:pPr>
        <w:pStyle w:val="FirstParagraph"/>
      </w:pPr>
      <w:r>
        <w:rPr>
          <w:b/>
          <w:bCs/>
        </w:rPr>
        <w:t xml:space="preserve">PH Focus Group:</w:t>
      </w:r>
    </w:p>
    <w:p>
      <w:pPr>
        <w:pStyle w:val="Compact"/>
        <w:numPr>
          <w:ilvl w:val="0"/>
          <w:numId w:val="1044"/>
        </w:numPr>
      </w:pPr>
      <w:r>
        <w:t xml:space="preserve">Semi-structured group discussion</w:t>
      </w:r>
    </w:p>
    <w:p>
      <w:pPr>
        <w:pStyle w:val="Compact"/>
        <w:numPr>
          <w:ilvl w:val="0"/>
          <w:numId w:val="1044"/>
        </w:numPr>
      </w:pPr>
      <w:r>
        <w:t xml:space="preserve">Explores shared experiences and diverse perspectives</w:t>
      </w:r>
    </w:p>
    <w:p>
      <w:pPr>
        <w:pStyle w:val="Compact"/>
        <w:numPr>
          <w:ilvl w:val="0"/>
          <w:numId w:val="1044"/>
        </w:numPr>
      </w:pPr>
      <w:r>
        <w:t xml:space="preserve">May surface unanticipated needs or concerns</w:t>
      </w:r>
    </w:p>
    <w:p>
      <w:pPr>
        <w:pStyle w:val="Compact"/>
        <w:numPr>
          <w:ilvl w:val="0"/>
          <w:numId w:val="1044"/>
        </w:numPr>
      </w:pPr>
      <w:r>
        <w:t xml:space="preserve">Emphasizes inclusive participation</w:t>
      </w:r>
    </w:p>
    <w:bookmarkStart w:id="162"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62"/>
    <w:bookmarkStart w:id="165"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5"/>
        </w:numPr>
      </w:pPr>
      <w:r>
        <w:t xml:space="preserve">Watch users perform tasks</w:t>
      </w:r>
    </w:p>
    <w:p>
      <w:pPr>
        <w:pStyle w:val="Compact"/>
        <w:numPr>
          <w:ilvl w:val="0"/>
          <w:numId w:val="1045"/>
        </w:numPr>
      </w:pPr>
      <w:r>
        <w:t xml:space="preserve">Note workarounds and inefficiencies</w:t>
      </w:r>
    </w:p>
    <w:p>
      <w:pPr>
        <w:pStyle w:val="Compact"/>
        <w:numPr>
          <w:ilvl w:val="0"/>
          <w:numId w:val="1045"/>
        </w:numPr>
      </w:pPr>
      <w:r>
        <w:t xml:space="preserve">Identify undocumented processes</w:t>
      </w:r>
    </w:p>
    <w:p>
      <w:pPr>
        <w:pStyle w:val="Compact"/>
        <w:numPr>
          <w:ilvl w:val="0"/>
          <w:numId w:val="1045"/>
        </w:numPr>
      </w:pPr>
      <w:r>
        <w:t xml:space="preserve">Time critical workflows</w:t>
      </w:r>
    </w:p>
    <w:p>
      <w:pPr>
        <w:pStyle w:val="FirstParagraph"/>
      </w:pPr>
      <w:r>
        <w:rPr>
          <w:b/>
          <w:bCs/>
        </w:rPr>
        <w:t xml:space="preserve">PH Observation (Site Visits, Ethnography):</w:t>
      </w:r>
    </w:p>
    <w:p>
      <w:pPr>
        <w:pStyle w:val="Compact"/>
        <w:numPr>
          <w:ilvl w:val="0"/>
          <w:numId w:val="1046"/>
        </w:numPr>
      </w:pPr>
      <w:r>
        <w:t xml:space="preserve">Visit clinics, community settings</w:t>
      </w:r>
    </w:p>
    <w:p>
      <w:pPr>
        <w:pStyle w:val="Compact"/>
        <w:numPr>
          <w:ilvl w:val="0"/>
          <w:numId w:val="1046"/>
        </w:numPr>
      </w:pPr>
      <w:r>
        <w:t xml:space="preserve">Understand context and constraints</w:t>
      </w:r>
    </w:p>
    <w:p>
      <w:pPr>
        <w:pStyle w:val="Compact"/>
        <w:numPr>
          <w:ilvl w:val="0"/>
          <w:numId w:val="1046"/>
        </w:numPr>
      </w:pPr>
      <w:r>
        <w:t xml:space="preserve">Observe patient-provider interactions</w:t>
      </w:r>
    </w:p>
    <w:p>
      <w:pPr>
        <w:pStyle w:val="Compact"/>
        <w:numPr>
          <w:ilvl w:val="0"/>
          <w:numId w:val="1046"/>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andre\AppData\Local\Programs\Quarto\share\formats\docx\tip.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pPr>
              <w:pStyle w:val="BodyText"/>
            </w:pPr>
            <w:pPr>
              <w:spacing w:after="16"/>
            </w:pPr>
            <w:r>
              <w:t xml:space="preserve">However, Gemba walks often fall short when designers and programmers only observe a single point in the workflow. A critical gap in many software projects is the failure to understand the</w:t>
            </w:r>
            <w:r>
              <w:t xml:space="preserve"> </w:t>
            </w:r>
            <w:r>
              <w:rPr>
                <w:b/>
                <w:bCs/>
              </w:rPr>
              <w:t xml:space="preserve">complete data and document flow</w:t>
            </w:r>
            <w:r>
              <w:t xml:space="preserve"> </w:t>
            </w:r>
            <w:r>
              <w:t xml:space="preserve">across all users and use cases.</w:t>
            </w:r>
          </w:p>
          <w:p/>
        </w:tc>
      </w:tr>
    </w:tbl>
    <w:bookmarkEnd w:id="165"/>
    <w:bookmarkStart w:id="168" w:name="understanding-the-full-workflow"/>
    <w:p>
      <w:pPr>
        <w:pStyle w:val="Heading4"/>
      </w:pPr>
      <w:r>
        <w:t xml:space="preserve">Understanding the Full Workflow</w:t>
      </w:r>
    </w:p>
    <w:p>
      <w:pPr>
        <w:pStyle w:val="FirstParagraph"/>
      </w:pPr>
      <w:r>
        <w:t xml:space="preserve">A frequent and costly mistake is that software designers speak primarily with</w:t>
      </w:r>
      <w:r>
        <w:t xml:space="preserve"> </w:t>
      </w:r>
      <w:r>
        <w:rPr>
          <w:b/>
          <w:bCs/>
        </w:rPr>
        <w:t xml:space="preserve">decision-makers and budget holders</w:t>
      </w:r>
      <w:r>
        <w:t xml:space="preserve">—often located far from the actual work. These gatekeepers may not themselves use the system daily, and they may not see the entire operational flow. The result: software that fails to support the messy, multi-stage reality of work.</w:t>
      </w:r>
    </w:p>
    <w:p>
      <w:pPr>
        <w:pStyle w:val="BodyText"/>
      </w:pPr>
      <w:r>
        <w:rPr>
          <w:b/>
          <w:bCs/>
        </w:rPr>
        <w:t xml:space="preserve">The Complete Workflow Includes:</w:t>
      </w:r>
    </w:p>
    <w:p>
      <w:pPr>
        <w:pStyle w:val="Compact"/>
        <w:numPr>
          <w:ilvl w:val="0"/>
          <w:numId w:val="1047"/>
        </w:numPr>
      </w:pPr>
      <w:r>
        <w:rPr>
          <w:b/>
          <w:bCs/>
        </w:rPr>
        <w:t xml:space="preserve">Data Generation &amp; Collection</w:t>
      </w:r>
      <w:r>
        <w:t xml:space="preserve"> </w:t>
      </w:r>
      <w:r>
        <w:t xml:space="preserve">(field operations)</w:t>
      </w:r>
    </w:p>
    <w:p>
      <w:pPr>
        <w:pStyle w:val="Compact"/>
        <w:numPr>
          <w:ilvl w:val="1"/>
          <w:numId w:val="1048"/>
        </w:numPr>
      </w:pPr>
      <w:r>
        <w:t xml:space="preserve">How data originates: inspections, tests, patient encounters</w:t>
      </w:r>
    </w:p>
    <w:p>
      <w:pPr>
        <w:pStyle w:val="Compact"/>
        <w:numPr>
          <w:ilvl w:val="1"/>
          <w:numId w:val="1048"/>
        </w:numPr>
      </w:pPr>
      <w:r>
        <w:t xml:space="preserve">Who collects it and what constraints they face</w:t>
      </w:r>
    </w:p>
    <w:p>
      <w:pPr>
        <w:pStyle w:val="Compact"/>
        <w:numPr>
          <w:ilvl w:val="0"/>
          <w:numId w:val="1047"/>
        </w:numPr>
      </w:pPr>
      <w:r>
        <w:rPr>
          <w:b/>
          <w:bCs/>
        </w:rPr>
        <w:t xml:space="preserve">Data Intake &amp; System Processing</w:t>
      </w:r>
      <w:r>
        <w:t xml:space="preserve"> </w:t>
      </w:r>
      <w:r>
        <w:t xml:space="preserve">(data entry, administration)</w:t>
      </w:r>
    </w:p>
    <w:p>
      <w:pPr>
        <w:pStyle w:val="Compact"/>
        <w:numPr>
          <w:ilvl w:val="1"/>
          <w:numId w:val="1049"/>
        </w:numPr>
      </w:pPr>
      <w:r>
        <w:t xml:space="preserve">How raw data enters the system</w:t>
      </w:r>
    </w:p>
    <w:p>
      <w:pPr>
        <w:pStyle w:val="Compact"/>
        <w:numPr>
          <w:ilvl w:val="1"/>
          <w:numId w:val="1049"/>
        </w:numPr>
      </w:pPr>
      <w:r>
        <w:t xml:space="preserve">What validation, coding, and quality checks occur</w:t>
      </w:r>
    </w:p>
    <w:p>
      <w:pPr>
        <w:pStyle w:val="Compact"/>
        <w:numPr>
          <w:ilvl w:val="1"/>
          <w:numId w:val="1049"/>
        </w:numPr>
      </w:pPr>
      <w:r>
        <w:t xml:space="preserve">Who performs these tasks and their priorities</w:t>
      </w:r>
    </w:p>
    <w:p>
      <w:pPr>
        <w:pStyle w:val="Compact"/>
        <w:numPr>
          <w:ilvl w:val="0"/>
          <w:numId w:val="1047"/>
        </w:numPr>
      </w:pPr>
      <w:r>
        <w:rPr>
          <w:b/>
          <w:bCs/>
        </w:rPr>
        <w:t xml:space="preserve">Data Preparation for External Use</w:t>
      </w:r>
      <w:r>
        <w:t xml:space="preserve"> </w:t>
      </w:r>
      <w:r>
        <w:t xml:space="preserve">(records, reporting)</w:t>
      </w:r>
    </w:p>
    <w:p>
      <w:pPr>
        <w:pStyle w:val="Compact"/>
        <w:numPr>
          <w:ilvl w:val="1"/>
          <w:numId w:val="1050"/>
        </w:numPr>
      </w:pPr>
      <w:r>
        <w:t xml:space="preserve">How data is processed for public requests, legal discovery, or external reporting</w:t>
      </w:r>
    </w:p>
    <w:p>
      <w:pPr>
        <w:pStyle w:val="Compact"/>
        <w:numPr>
          <w:ilvl w:val="1"/>
          <w:numId w:val="1050"/>
        </w:numPr>
      </w:pPr>
      <w:r>
        <w:t xml:space="preserve">Admin support and customer service functions</w:t>
      </w:r>
    </w:p>
    <w:p>
      <w:pPr>
        <w:pStyle w:val="Compact"/>
        <w:numPr>
          <w:ilvl w:val="1"/>
          <w:numId w:val="1050"/>
        </w:numPr>
      </w:pPr>
      <w:r>
        <w:t xml:space="preserve">Regulatory and compliance requirements</w:t>
      </w:r>
    </w:p>
    <w:p>
      <w:pPr>
        <w:pStyle w:val="Compact"/>
        <w:numPr>
          <w:ilvl w:val="0"/>
          <w:numId w:val="1047"/>
        </w:numPr>
      </w:pPr>
      <w:r>
        <w:rPr>
          <w:b/>
          <w:bCs/>
        </w:rPr>
        <w:t xml:space="preserve">Data Use by Multiple Stakeholders</w:t>
      </w:r>
      <w:r>
        <w:t xml:space="preserve"> </w:t>
      </w:r>
      <w:r>
        <w:t xml:space="preserve">(analysis, management, operations)</w:t>
      </w:r>
    </w:p>
    <w:p>
      <w:pPr>
        <w:pStyle w:val="Compact"/>
        <w:numPr>
          <w:ilvl w:val="1"/>
          <w:numId w:val="1051"/>
        </w:numPr>
      </w:pPr>
      <w:r>
        <w:t xml:space="preserve">How frontline workers (field inspectors, registrars) use data for daily decisions</w:t>
      </w:r>
    </w:p>
    <w:p>
      <w:pPr>
        <w:pStyle w:val="Compact"/>
        <w:numPr>
          <w:ilvl w:val="1"/>
          <w:numId w:val="1051"/>
        </w:numPr>
      </w:pPr>
      <w:r>
        <w:t xml:space="preserve">How managers use the same data for productivity metrics, resource allocation, and accountability</w:t>
      </w:r>
    </w:p>
    <w:p>
      <w:pPr>
        <w:pStyle w:val="Compact"/>
        <w:numPr>
          <w:ilvl w:val="1"/>
          <w:numId w:val="1051"/>
        </w:numPr>
      </w:pPr>
      <w:r>
        <w:t xml:space="preserve">These uses often conflict—what serves operational efficiency may not serve field worker needs</w:t>
      </w:r>
    </w:p>
    <w:p>
      <w:pPr>
        <w:pStyle w:val="FirstParagraph"/>
      </w:pPr>
      <w:r>
        <w:rPr>
          <w:b/>
          <w:bCs/>
        </w:rPr>
        <w:t xml:space="preserve">Why This Matters:</w:t>
      </w:r>
    </w:p>
    <w:p>
      <w:pPr>
        <w:pStyle w:val="BodyText"/>
      </w:pPr>
      <w:r>
        <w:t xml:space="preserve">Each stage has</w:t>
      </w:r>
      <w:r>
        <w:t xml:space="preserve"> </w:t>
      </w:r>
      <w:r>
        <w:rPr>
          <w:b/>
          <w:bCs/>
        </w:rPr>
        <w:t xml:space="preserve">different outcomes, different focuses, and different definitions of success</w:t>
      </w:r>
      <w:r>
        <w:t xml:space="preserve">. Data collected by one stakeholder is processed by another and used by a third—each with distinct priorities. A system designed to satisfy the decision-maker but not these three operational groups will fail in practice.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andre\AppData\Local\Programs\Quarto\share\formats\docx\note.png" id="1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The Problem:</w:t>
            </w:r>
          </w:p>
          <w:p>
            <w:pPr>
              <w:pStyle w:val="BodyText"/>
            </w:pPr>
            <w:r>
              <w:t xml:space="preserve">A software vendor designs CancerSurv by consulting the State Cancer Registry</w:t>
            </w:r>
            <w:r>
              <w:t xml:space="preserve"> </w:t>
            </w:r>
            <w:r>
              <w:rPr>
                <w:b/>
                <w:bCs/>
              </w:rPr>
              <w:t xml:space="preserve">Director</w:t>
            </w:r>
            <w:r>
              <w:t xml:space="preserve"> </w:t>
            </w:r>
            <w:r>
              <w:t xml:space="preserve">(the budget holder). The director prioritizes:</w:t>
            </w:r>
          </w:p>
          <w:p>
            <w:pPr>
              <w:pStyle w:val="Compact"/>
              <w:numPr>
                <w:ilvl w:val="0"/>
                <w:numId w:val="1052"/>
              </w:numPr>
            </w:pPr>
            <w:r>
              <w:t xml:space="preserve">NPCR reporting compliance</w:t>
            </w:r>
          </w:p>
          <w:p>
            <w:pPr>
              <w:pStyle w:val="Compact"/>
              <w:numPr>
                <w:ilvl w:val="0"/>
                <w:numId w:val="1052"/>
              </w:numPr>
            </w:pPr>
            <w:r>
              <w:t xml:space="preserve">Cost efficiency</w:t>
            </w:r>
          </w:p>
          <w:p>
            <w:pPr>
              <w:pStyle w:val="Compact"/>
              <w:numPr>
                <w:ilvl w:val="0"/>
                <w:numId w:val="1052"/>
              </w:numPr>
            </w:pPr>
            <w:r>
              <w:t xml:space="preserve">Centralized system control</w:t>
            </w:r>
          </w:p>
          <w:p>
            <w:pPr>
              <w:pStyle w:val="FirstParagraph"/>
            </w:pPr>
            <w:r>
              <w:t xml:space="preserve">But the director rarely enters data or manages daily workflows. The actual system involves:</w:t>
            </w:r>
          </w:p>
          <w:p>
            <w:pPr>
              <w:pStyle w:val="Compact"/>
              <w:numPr>
                <w:ilvl w:val="0"/>
                <w:numId w:val="1053"/>
              </w:numPr>
            </w:pPr>
            <w:r>
              <w:rPr>
                <w:b/>
                <w:bCs/>
              </w:rPr>
              <w:t xml:space="preserve">Data Generation:</w:t>
            </w:r>
            <w:r>
              <w:t xml:space="preserve"> </w:t>
            </w:r>
            <w:r>
              <w:t xml:space="preserve">Hospital pathologists and surgical oncologists generate reports (often outside the system, in hospital EHRs)</w:t>
            </w:r>
          </w:p>
          <w:p>
            <w:pPr>
              <w:pStyle w:val="Compact"/>
              <w:numPr>
                <w:ilvl w:val="0"/>
                <w:numId w:val="1053"/>
              </w:numPr>
            </w:pPr>
            <w:r>
              <w:rPr>
                <w:b/>
                <w:bCs/>
              </w:rPr>
              <w:t xml:space="preserve">Data Intake:</w:t>
            </w:r>
            <w:r>
              <w:t xml:space="preserve"> </w:t>
            </w:r>
            <w:r>
              <w:t xml:space="preserve">Registrars abstract cases from hospital records into CancerSurv—manually reviewing pathology, staging, treatment</w:t>
            </w:r>
          </w:p>
          <w:p>
            <w:pPr>
              <w:pStyle w:val="Compact"/>
              <w:numPr>
                <w:ilvl w:val="0"/>
                <w:numId w:val="1053"/>
              </w:numPr>
            </w:pPr>
            <w:r>
              <w:rPr>
                <w:b/>
                <w:bCs/>
              </w:rPr>
              <w:t xml:space="preserve">Data Processing:</w:t>
            </w:r>
            <w:r>
              <w:t xml:space="preserve"> </w:t>
            </w:r>
            <w:r>
              <w:t xml:space="preserve">Admin staff validate data, perform quality checks, request missing information, deduplicate records, and prepare annual reports for CDC</w:t>
            </w:r>
          </w:p>
          <w:p>
            <w:pPr>
              <w:pStyle w:val="Compact"/>
              <w:numPr>
                <w:ilvl w:val="0"/>
                <w:numId w:val="1053"/>
              </w:numPr>
            </w:pPr>
            <w:r>
              <w:rPr>
                <w:b/>
                <w:bCs/>
              </w:rPr>
              <w:t xml:space="preserve">Data Use (Inspection/Operations):</w:t>
            </w:r>
            <w:r>
              <w:t xml:space="preserve"> </w:t>
            </w:r>
            <w:r>
              <w:t xml:space="preserve">Registrars use the system to identify missing follow-up information and flag data quality issues</w:t>
            </w:r>
          </w:p>
          <w:p>
            <w:pPr>
              <w:pStyle w:val="Compact"/>
              <w:numPr>
                <w:ilvl w:val="0"/>
                <w:numId w:val="1053"/>
              </w:numPr>
            </w:pPr>
            <w:r>
              <w:rPr>
                <w:b/>
                <w:bCs/>
              </w:rPr>
              <w:t xml:space="preserve">Data Use (Management):</w:t>
            </w:r>
            <w:r>
              <w:t xml:space="preserve"> </w:t>
            </w:r>
            <w:r>
              <w:t xml:space="preserve">The director uses dashboards to track incidence trends and ensure grant milestones are met; registry managers use the same data to evaluate registrar productivity and workload</w:t>
            </w:r>
          </w:p>
          <w:p>
            <w:pPr>
              <w:pStyle w:val="FirstParagraph"/>
            </w:pPr>
            <w:r>
              <w:rPr>
                <w:b/>
                <w:bCs/>
              </w:rPr>
              <w:t xml:space="preserve">The Disconnect:</w:t>
            </w:r>
          </w:p>
          <w:p>
            <w:pPr>
              <w:pStyle w:val="BodyText"/>
            </w:pPr>
            <w:r>
              <w:t xml:space="preserve">If programmers and designers only shadow the director or attend leadership meetings, they miss critical needs:</w:t>
            </w:r>
          </w:p>
          <w:p>
            <w:pPr>
              <w:pStyle w:val="Compact"/>
              <w:numPr>
                <w:ilvl w:val="0"/>
                <w:numId w:val="1054"/>
              </w:numPr>
            </w:pPr>
            <w:r>
              <w:t xml:space="preserve">Registrars need efficient batch workflows for large case imports (not addressed in director-focused design)</w:t>
            </w:r>
          </w:p>
          <w:p>
            <w:pPr>
              <w:pStyle w:val="Compact"/>
              <w:numPr>
                <w:ilvl w:val="0"/>
                <w:numId w:val="1054"/>
              </w:numPr>
            </w:pPr>
            <w:r>
              <w:t xml:space="preserve">Admin staff need audit trails and error logs (not a director priority)</w:t>
            </w:r>
          </w:p>
          <w:p>
            <w:pPr>
              <w:pStyle w:val="Compact"/>
              <w:numPr>
                <w:ilvl w:val="0"/>
                <w:numId w:val="1054"/>
              </w:numPr>
            </w:pPr>
            <w:r>
              <w:t xml:space="preserve">Registrars’ productivity data goes to managers for performance reviews—creating tension between doing quality work and doing work fast</w:t>
            </w:r>
          </w:p>
          <w:p>
            <w:pPr>
              <w:pStyle w:val="Compact"/>
              <w:numPr>
                <w:ilvl w:val="0"/>
                <w:numId w:val="1054"/>
              </w:numPr>
            </w:pPr>
            <w:r>
              <w:t xml:space="preserve">Hospital pathologists need interoperability to send structured reports directly into CancerSurv (if this step is never observed, a manual workaround becomes permanent)</w:t>
            </w:r>
          </w:p>
          <w:p>
            <w:pPr>
              <w:pStyle w:val="FirstParagraph"/>
            </w:pPr>
            <w:r>
              <w:rPr>
                <w:b/>
                <w:bCs/>
              </w:rPr>
              <w:t xml:space="preserve">The Solution:</w:t>
            </w:r>
          </w:p>
          <w:p>
            <w:pPr>
              <w:pStyle w:val="BodyText"/>
            </w:pPr>
            <w:r>
              <w:t xml:space="preserve">Before programming begins, the development team—including programmers and architects—must shadow all four phases:</w:t>
            </w:r>
          </w:p>
          <w:p>
            <w:pPr>
              <w:pStyle w:val="Compact"/>
              <w:numPr>
                <w:ilvl w:val="0"/>
                <w:numId w:val="1055"/>
              </w:numPr>
            </w:pPr>
            <w:r>
              <w:t xml:space="preserve">Spend time in the hospital observing how pathology reports are generated and accessed by registrars</w:t>
            </w:r>
          </w:p>
          <w:p>
            <w:pPr>
              <w:pStyle w:val="Compact"/>
              <w:numPr>
                <w:ilvl w:val="0"/>
                <w:numId w:val="1055"/>
              </w:numPr>
            </w:pPr>
            <w:r>
              <w:t xml:space="preserve">Sit with registrars as they abstract cases and manage quality issues</w:t>
            </w:r>
          </w:p>
          <w:p>
            <w:pPr>
              <w:pStyle w:val="Compact"/>
              <w:numPr>
                <w:ilvl w:val="0"/>
                <w:numId w:val="1055"/>
              </w:numPr>
            </w:pPr>
            <w:r>
              <w:t xml:space="preserve">Work with admin staff processing data for CDC submission and responding to records requests</w:t>
            </w:r>
          </w:p>
          <w:p>
            <w:pPr>
              <w:pStyle w:val="Compact"/>
              <w:numPr>
                <w:ilvl w:val="0"/>
                <w:numId w:val="1055"/>
              </w:numPr>
            </w:pPr>
            <w:r>
              <w:t xml:space="preserve">Interview both field registrars and managers to understand how the same data supports different decisions</w:t>
            </w:r>
          </w:p>
          <w:p>
            <w:pPr>
              <w:pStyle w:val="FirstParagraph"/>
            </w:pPr>
            <w:pPr>
              <w:spacing w:after="16"/>
            </w:pPr>
            <w:r>
              <w:t xml:space="preserve">Only then can the team design a system that truly serves the work, not just the budget narrative.</w:t>
            </w:r>
          </w:p>
          <w:p/>
        </w:tc>
      </w:tr>
    </w:tbl>
    <w:p>
      <w:pPr>
        <w:pStyle w:val="BodyText"/>
      </w:pPr>
      <w:r>
        <w:rPr>
          <w:b/>
          <w:bCs/>
        </w:rPr>
        <w:t xml:space="preserve">A Critical Principle for Both Domains:</w:t>
      </w:r>
    </w:p>
    <w:p>
      <w:pPr>
        <w:pStyle w:val="BodyText"/>
      </w:pPr>
      <w:r>
        <w:t xml:space="preserve">Whether in public health or IT, the programmer or analyst who designs the system must see the complete workflow before design begins. This is not optional; it is the foundation of requirements elicitation. Skipping this step guarantees expensive redesigns, user dissatisfaction, and workarounds that undermine system integrity.</w:t>
      </w:r>
    </w:p>
    <w:bookmarkEnd w:id="168"/>
    <w:bookmarkEnd w:id="169"/>
    <w:bookmarkStart w:id="172" w:name="engaging-diverse-voices"/>
    <w:p>
      <w:pPr>
        <w:pStyle w:val="Heading3"/>
      </w:pPr>
      <w:r>
        <w:t xml:space="preserve">Engaging Diverse Voices</w:t>
      </w:r>
    </w:p>
    <w:bookmarkStart w:id="170"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56"/>
        </w:numPr>
      </w:pPr>
      <w:r>
        <w:t xml:space="preserve">Who is missing from our stakeholder list?</w:t>
      </w:r>
    </w:p>
    <w:p>
      <w:pPr>
        <w:pStyle w:val="Compact"/>
        <w:numPr>
          <w:ilvl w:val="0"/>
          <w:numId w:val="1056"/>
        </w:numPr>
      </w:pPr>
      <w:r>
        <w:t xml:space="preserve">Whose needs might be overlooked by</w:t>
      </w:r>
      <w:r>
        <w:t xml:space="preserve"> </w:t>
      </w:r>
      <w:r>
        <w:t xml:space="preserve">“typical”</w:t>
      </w:r>
      <w:r>
        <w:t xml:space="preserve"> </w:t>
      </w:r>
      <w:r>
        <w:t xml:space="preserve">users?</w:t>
      </w:r>
    </w:p>
    <w:p>
      <w:pPr>
        <w:pStyle w:val="Compact"/>
        <w:numPr>
          <w:ilvl w:val="0"/>
          <w:numId w:val="1056"/>
        </w:numPr>
      </w:pPr>
      <w:r>
        <w:t xml:space="preserve">What barriers prevent participation (language, location, schedule)?</w:t>
      </w:r>
    </w:p>
    <w:p>
      <w:pPr>
        <w:pStyle w:val="Compact"/>
        <w:numPr>
          <w:ilvl w:val="0"/>
          <w:numId w:val="1056"/>
        </w:numPr>
      </w:pPr>
      <w:r>
        <w:t xml:space="preserve">How do we ensure power imbalances do not silence important perspectives?</w:t>
      </w:r>
    </w:p>
    <w:bookmarkEnd w:id="170"/>
    <w:bookmarkStart w:id="171"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71"/>
    <w:bookmarkEnd w:id="172"/>
    <w:bookmarkStart w:id="181" w:name="translating-what-you-hear"/>
    <w:p>
      <w:pPr>
        <w:pStyle w:val="Heading3"/>
      </w:pPr>
      <w:r>
        <w:t xml:space="preserve">Translating What You Hear</w:t>
      </w:r>
    </w:p>
    <w:bookmarkStart w:id="177"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76" w:name="fig-elicitation-flow"/>
          <w:p>
            <w:pPr>
              <w:jc w:val="center"/>
            </w:pPr>
            <w:r>
              <w:drawing>
                <wp:inline>
                  <wp:extent cx="6400800" cy="491983"/>
                  <wp:effectExtent b="0" l="0" r="0" t="0"/>
                  <wp:docPr descr="" title="" id="174" name="Picture"/>
                  <a:graphic>
                    <a:graphicData uri="http://schemas.openxmlformats.org/drawingml/2006/picture">
                      <pic:pic>
                        <pic:nvPicPr>
                          <pic:cNvPr descr="chapters/05-elicitation_files\figure-docx\mermaid-figure-1.png" id="175" name="Picture"/>
                          <pic:cNvPicPr>
                            <a:picLocks noChangeArrowheads="1" noChangeAspect="1"/>
                          </pic:cNvPicPr>
                        </pic:nvPicPr>
                        <pic:blipFill>
                          <a:blip r:embed="rId173"/>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76"/>
        </w:tc>
      </w:tr>
    </w:tbl>
    <w:bookmarkEnd w:id="177"/>
    <w:bookmarkStart w:id="180"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Users\andre\AppData\Local\Programs\Quarto\share\formats\docx\note.png" id="1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57"/>
              </w:numPr>
            </w:pPr>
            <w:r>
              <w:t xml:space="preserve">Which specific tasks feel slow?</w:t>
            </w:r>
          </w:p>
          <w:p>
            <w:pPr>
              <w:pStyle w:val="Compact"/>
              <w:numPr>
                <w:ilvl w:val="0"/>
                <w:numId w:val="1057"/>
              </w:numPr>
            </w:pPr>
            <w:r>
              <w:t xml:space="preserve">How long do those tasks take now?</w:t>
            </w:r>
          </w:p>
          <w:p>
            <w:pPr>
              <w:pStyle w:val="Compact"/>
              <w:numPr>
                <w:ilvl w:val="0"/>
                <w:numId w:val="1057"/>
              </w:numPr>
            </w:pPr>
            <w:r>
              <w:t xml:space="preserve">What would be an acceptable time?</w:t>
            </w:r>
          </w:p>
          <w:p>
            <w:pPr>
              <w:pStyle w:val="Compact"/>
              <w:numPr>
                <w:ilvl w:val="0"/>
                <w:numId w:val="1057"/>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80"/>
    <w:bookmarkEnd w:id="181"/>
    <w:bookmarkStart w:id="188" w:name="documentation-approaches"/>
    <w:p>
      <w:pPr>
        <w:pStyle w:val="Heading3"/>
      </w:pPr>
      <w:r>
        <w:t xml:space="preserve">Documentation Approaches</w:t>
      </w:r>
    </w:p>
    <w:bookmarkStart w:id="182" w:name="ba-requirements-documentation"/>
    <w:p>
      <w:pPr>
        <w:pStyle w:val="Heading4"/>
      </w:pPr>
      <w:r>
        <w:t xml:space="preserve">BA Requirements Documentation</w:t>
      </w:r>
    </w:p>
    <w:p>
      <w:pPr>
        <w:pStyle w:val="Compact"/>
        <w:numPr>
          <w:ilvl w:val="0"/>
          <w:numId w:val="1058"/>
        </w:numPr>
      </w:pPr>
      <w:r>
        <w:t xml:space="preserve">User Stories (Agile)</w:t>
      </w:r>
    </w:p>
    <w:p>
      <w:pPr>
        <w:pStyle w:val="Compact"/>
        <w:numPr>
          <w:ilvl w:val="0"/>
          <w:numId w:val="1058"/>
        </w:numPr>
      </w:pPr>
      <w:r>
        <w:t xml:space="preserve">Use Cases (UML)</w:t>
      </w:r>
    </w:p>
    <w:p>
      <w:pPr>
        <w:pStyle w:val="Compact"/>
        <w:numPr>
          <w:ilvl w:val="0"/>
          <w:numId w:val="1058"/>
        </w:numPr>
      </w:pPr>
      <w:r>
        <w:t xml:space="preserve">Requirements Specifications (Waterfall)</w:t>
      </w:r>
    </w:p>
    <w:p>
      <w:pPr>
        <w:pStyle w:val="Compact"/>
        <w:numPr>
          <w:ilvl w:val="0"/>
          <w:numId w:val="1058"/>
        </w:numPr>
      </w:pPr>
      <w:r>
        <w:t xml:space="preserve">Acceptance Criteria</w:t>
      </w:r>
    </w:p>
    <w:bookmarkEnd w:id="182"/>
    <w:bookmarkStart w:id="183" w:name="ph-program-documentation"/>
    <w:p>
      <w:pPr>
        <w:pStyle w:val="Heading4"/>
      </w:pPr>
      <w:r>
        <w:t xml:space="preserve">PH Program Documentation</w:t>
      </w:r>
    </w:p>
    <w:p>
      <w:pPr>
        <w:pStyle w:val="Compact"/>
        <w:numPr>
          <w:ilvl w:val="0"/>
          <w:numId w:val="1059"/>
        </w:numPr>
      </w:pPr>
      <w:r>
        <w:t xml:space="preserve">Logic Models</w:t>
      </w:r>
    </w:p>
    <w:p>
      <w:pPr>
        <w:pStyle w:val="Compact"/>
        <w:numPr>
          <w:ilvl w:val="0"/>
          <w:numId w:val="1059"/>
        </w:numPr>
      </w:pPr>
      <w:r>
        <w:t xml:space="preserve">Intervention Protocols</w:t>
      </w:r>
    </w:p>
    <w:p>
      <w:pPr>
        <w:pStyle w:val="Compact"/>
        <w:numPr>
          <w:ilvl w:val="0"/>
          <w:numId w:val="1059"/>
        </w:numPr>
      </w:pPr>
      <w:r>
        <w:t xml:space="preserve">Evaluation Plans</w:t>
      </w:r>
    </w:p>
    <w:p>
      <w:pPr>
        <w:pStyle w:val="Compact"/>
        <w:numPr>
          <w:ilvl w:val="0"/>
          <w:numId w:val="1059"/>
        </w:numPr>
      </w:pPr>
      <w:r>
        <w:t xml:space="preserve">Implementation Guides</w:t>
      </w:r>
    </w:p>
    <w:bookmarkEnd w:id="183"/>
    <w:bookmarkStart w:id="184"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84"/>
    <w:bookmarkStart w:id="187"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60"/>
        </w:numPr>
      </w:pPr>
      <w:r>
        <w:t xml:space="preserve">Clinical workflows involve conditional logic (</w:t>
      </w:r>
      <w:r>
        <w:t xml:space="preserve">“if this lab result, then that action”</w:t>
      </w:r>
      <w:r>
        <w:t xml:space="preserve">)</w:t>
      </w:r>
    </w:p>
    <w:p>
      <w:pPr>
        <w:pStyle w:val="Compact"/>
        <w:numPr>
          <w:ilvl w:val="0"/>
          <w:numId w:val="1060"/>
        </w:numPr>
      </w:pPr>
      <w:r>
        <w:t xml:space="preserve">Regulatory requirements mandate specific timeframes and actions</w:t>
      </w:r>
    </w:p>
    <w:p>
      <w:pPr>
        <w:pStyle w:val="Compact"/>
        <w:numPr>
          <w:ilvl w:val="0"/>
          <w:numId w:val="1060"/>
        </w:numPr>
      </w:pPr>
      <w:r>
        <w:t xml:space="preserve">Patient safety considerations require explicit protocols, not just user preferences</w:t>
      </w:r>
    </w:p>
    <w:p>
      <w:pPr>
        <w:pStyle w:val="Compact"/>
        <w:numPr>
          <w:ilvl w:val="0"/>
          <w:numId w:val="1060"/>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andre\AppData\Local\Programs\Quarto\share\formats\docx\note.png" id="1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187"/>
    <w:bookmarkEnd w:id="188"/>
    <w:bookmarkStart w:id="190" w:name="validation-and-confirmation"/>
    <w:p>
      <w:pPr>
        <w:pStyle w:val="Heading3"/>
      </w:pPr>
      <w:r>
        <w:t xml:space="preserve">Validation and Confirmation</w:t>
      </w:r>
    </w:p>
    <w:bookmarkStart w:id="189"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61"/>
        </w:numPr>
      </w:pPr>
      <w:r>
        <w:t xml:space="preserve">Requirements reviews</w:t>
      </w:r>
    </w:p>
    <w:p>
      <w:pPr>
        <w:pStyle w:val="Compact"/>
        <w:numPr>
          <w:ilvl w:val="0"/>
          <w:numId w:val="1061"/>
        </w:numPr>
      </w:pPr>
      <w:r>
        <w:t xml:space="preserve">Prototype walkthroughs</w:t>
      </w:r>
    </w:p>
    <w:p>
      <w:pPr>
        <w:pStyle w:val="Compact"/>
        <w:numPr>
          <w:ilvl w:val="0"/>
          <w:numId w:val="1061"/>
        </w:numPr>
      </w:pPr>
      <w:r>
        <w:t xml:space="preserve">Structured walkthroughs</w:t>
      </w:r>
    </w:p>
    <w:p>
      <w:pPr>
        <w:pStyle w:val="Compact"/>
        <w:numPr>
          <w:ilvl w:val="0"/>
          <w:numId w:val="1061"/>
        </w:numPr>
      </w:pPr>
      <w:r>
        <w:t xml:space="preserve">Sign-off meetings</w:t>
      </w:r>
    </w:p>
    <w:p>
      <w:pPr>
        <w:pStyle w:val="FirstParagraph"/>
      </w:pPr>
      <w:r>
        <w:rPr>
          <w:b/>
          <w:bCs/>
        </w:rPr>
        <w:t xml:space="preserve">PH Validation Techniques:</w:t>
      </w:r>
    </w:p>
    <w:p>
      <w:pPr>
        <w:pStyle w:val="Compact"/>
        <w:numPr>
          <w:ilvl w:val="0"/>
          <w:numId w:val="1062"/>
        </w:numPr>
      </w:pPr>
      <w:r>
        <w:t xml:space="preserve">Member checking (returning findings to participants)</w:t>
      </w:r>
    </w:p>
    <w:p>
      <w:pPr>
        <w:pStyle w:val="Compact"/>
        <w:numPr>
          <w:ilvl w:val="0"/>
          <w:numId w:val="1062"/>
        </w:numPr>
      </w:pPr>
      <w:r>
        <w:t xml:space="preserve">Community review sessions</w:t>
      </w:r>
    </w:p>
    <w:p>
      <w:pPr>
        <w:pStyle w:val="Compact"/>
        <w:numPr>
          <w:ilvl w:val="0"/>
          <w:numId w:val="1062"/>
        </w:numPr>
      </w:pPr>
      <w:r>
        <w:t xml:space="preserve">Pilot testing</w:t>
      </w:r>
    </w:p>
    <w:p>
      <w:pPr>
        <w:pStyle w:val="Compact"/>
        <w:numPr>
          <w:ilvl w:val="0"/>
          <w:numId w:val="1062"/>
        </w:numPr>
      </w:pPr>
      <w:r>
        <w:t xml:space="preserve">Expert review panels</w:t>
      </w:r>
    </w:p>
    <w:bookmarkEnd w:id="189"/>
    <w:bookmarkEnd w:id="190"/>
    <w:bookmarkStart w:id="194" w:name="managing-conflicting-needs"/>
    <w:p>
      <w:pPr>
        <w:pStyle w:val="Heading3"/>
      </w:pPr>
      <w:r>
        <w:t xml:space="preserve">Managing Conflicting Needs</w:t>
      </w:r>
    </w:p>
    <w:bookmarkStart w:id="193"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andre\AppData\Local\Programs\Quarto\share\formats\docx\note.png" id="1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63"/>
              </w:numPr>
            </w:pPr>
            <w:r>
              <w:t xml:space="preserve">Core fields (required): Streamlined view for registrars</w:t>
            </w:r>
          </w:p>
          <w:p>
            <w:pPr>
              <w:pStyle w:val="Compact"/>
              <w:numPr>
                <w:ilvl w:val="0"/>
                <w:numId w:val="1063"/>
              </w:numPr>
            </w:pPr>
            <w:r>
              <w:t xml:space="preserve">Extended fields (optional): Available when needed</w:t>
            </w:r>
          </w:p>
          <w:p>
            <w:pPr>
              <w:pStyle w:val="Compact"/>
              <w:numPr>
                <w:ilvl w:val="0"/>
                <w:numId w:val="1063"/>
              </w:numPr>
            </w:pPr>
            <w:r>
              <w:t xml:space="preserve">Analytics fields: Populated from other sources, not requiring registrar entry</w:t>
            </w:r>
          </w:p>
          <w:p/>
        </w:tc>
      </w:tr>
    </w:tbl>
    <w:bookmarkEnd w:id="193"/>
    <w:bookmarkEnd w:id="194"/>
    <w:bookmarkStart w:id="195"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95"/>
    <w:bookmarkStart w:id="196"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96"/>
    <w:bookmarkEnd w:id="197"/>
    <w:bookmarkEnd w:id="198"/>
    <w:bookmarkStart w:id="242" w:name="requirements-data-analysis"/>
    <w:p>
      <w:pPr>
        <w:pStyle w:val="Heading1"/>
      </w:pPr>
      <w:r>
        <w:t xml:space="preserve">Requirements &amp; Data Analysis</w:t>
      </w:r>
    </w:p>
    <w:bookmarkStart w:id="241"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99"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99"/>
    <w:bookmarkStart w:id="212" w:name="types-of-requirements"/>
    <w:p>
      <w:pPr>
        <w:pStyle w:val="Heading3"/>
      </w:pPr>
      <w:r>
        <w:t xml:space="preserve">Types of Requirements</w:t>
      </w:r>
    </w:p>
    <w:bookmarkStart w:id="202"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andre\AppData\Local\Programs\Quarto\share\formats\docx\note.png" id="2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202"/>
    <w:bookmarkStart w:id="205"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Users\andre\AppData\Local\Programs\Quarto\share\formats\docx\note.png" id="20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05"/>
    <w:bookmarkStart w:id="210"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64"/>
        </w:numPr>
      </w:pPr>
      <w:r>
        <w:t xml:space="preserve">Entity-Relationship diagrams</w:t>
      </w:r>
    </w:p>
    <w:p>
      <w:pPr>
        <w:pStyle w:val="Compact"/>
        <w:numPr>
          <w:ilvl w:val="0"/>
          <w:numId w:val="1064"/>
        </w:numPr>
      </w:pPr>
      <w:r>
        <w:t xml:space="preserve">Database schemas</w:t>
      </w:r>
    </w:p>
    <w:p>
      <w:pPr>
        <w:pStyle w:val="Compact"/>
        <w:numPr>
          <w:ilvl w:val="0"/>
          <w:numId w:val="1064"/>
        </w:numPr>
      </w:pPr>
      <w:r>
        <w:t xml:space="preserve">Data dictionaries</w:t>
      </w:r>
    </w:p>
    <w:p>
      <w:pPr>
        <w:pStyle w:val="Compact"/>
        <w:numPr>
          <w:ilvl w:val="0"/>
          <w:numId w:val="1064"/>
        </w:numPr>
      </w:pPr>
      <w:r>
        <w:t xml:space="preserve">Validation rules</w:t>
      </w:r>
    </w:p>
    <w:p>
      <w:pPr>
        <w:pStyle w:val="FirstParagraph"/>
      </w:pPr>
      <w:r>
        <w:rPr>
          <w:b/>
          <w:bCs/>
        </w:rPr>
        <w:t xml:space="preserve">PH Case Definitions:</w:t>
      </w:r>
    </w:p>
    <w:p>
      <w:pPr>
        <w:pStyle w:val="Compact"/>
        <w:numPr>
          <w:ilvl w:val="0"/>
          <w:numId w:val="1065"/>
        </w:numPr>
      </w:pPr>
      <w:r>
        <w:t xml:space="preserve">Diagnostic criteria</w:t>
      </w:r>
    </w:p>
    <w:p>
      <w:pPr>
        <w:pStyle w:val="Compact"/>
        <w:numPr>
          <w:ilvl w:val="0"/>
          <w:numId w:val="1065"/>
        </w:numPr>
      </w:pPr>
      <w:r>
        <w:t xml:space="preserve">Inclusion/exclusion criteria</w:t>
      </w:r>
    </w:p>
    <w:p>
      <w:pPr>
        <w:pStyle w:val="Compact"/>
        <w:numPr>
          <w:ilvl w:val="0"/>
          <w:numId w:val="1065"/>
        </w:numPr>
      </w:pPr>
      <w:r>
        <w:t xml:space="preserve">Coding standards (ICD-O-3, TNM)</w:t>
      </w:r>
    </w:p>
    <w:p>
      <w:pPr>
        <w:pStyle w:val="Compact"/>
        <w:numPr>
          <w:ilvl w:val="0"/>
          <w:numId w:val="1065"/>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09" w:name="fig-data-model"/>
          <w:p>
            <w:pPr>
              <w:jc w:val="center"/>
            </w:pPr>
            <w:r>
              <w:drawing>
                <wp:inline>
                  <wp:extent cx="4443984" cy="8165592"/>
                  <wp:effectExtent b="0" l="0" r="0" t="0"/>
                  <wp:docPr descr="" title="" id="207" name="Picture"/>
                  <a:graphic>
                    <a:graphicData uri="http://schemas.openxmlformats.org/drawingml/2006/picture">
                      <pic:pic>
                        <pic:nvPicPr>
                          <pic:cNvPr descr="chapters/06-requirements_files\figure-docx\mermaid-figure-1.png" id="208" name="Picture"/>
                          <pic:cNvPicPr>
                            <a:picLocks noChangeArrowheads="1" noChangeAspect="1"/>
                          </pic:cNvPicPr>
                        </pic:nvPicPr>
                        <pic:blipFill>
                          <a:blip r:embed="rId206"/>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09"/>
        </w:tc>
      </w:tr>
    </w:tbl>
    <w:bookmarkEnd w:id="210"/>
    <w:bookmarkStart w:id="211"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11"/>
    <w:bookmarkEnd w:id="212"/>
    <w:bookmarkStart w:id="217"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Users\andre\AppData\Local\Programs\Quarto\share\formats\docx\warning.png" id="21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Users\andre\AppData\Local\Programs\Quarto\share\formats\docx\note.png" id="2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17"/>
    <w:bookmarkStart w:id="222"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21" w:name="fig-logic-requirements"/>
          <w:p>
            <w:pPr>
              <w:jc w:val="center"/>
            </w:pPr>
            <w:r>
              <w:drawing>
                <wp:inline>
                  <wp:extent cx="6400800" cy="1685619"/>
                  <wp:effectExtent b="0" l="0" r="0" t="0"/>
                  <wp:docPr descr="" title="" id="219" name="Picture"/>
                  <a:graphic>
                    <a:graphicData uri="http://schemas.openxmlformats.org/drawingml/2006/picture">
                      <pic:pic>
                        <pic:nvPicPr>
                          <pic:cNvPr descr="chapters/06-requirements_files\figure-docx\mermaid-figure-3.png" id="220" name="Picture"/>
                          <pic:cNvPicPr>
                            <a:picLocks noChangeArrowheads="1" noChangeAspect="1"/>
                          </pic:cNvPicPr>
                        </pic:nvPicPr>
                        <pic:blipFill>
                          <a:blip r:embed="rId218"/>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221"/>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22"/>
    <w:bookmarkStart w:id="226" w:name="prioritization"/>
    <w:p>
      <w:pPr>
        <w:pStyle w:val="Heading3"/>
      </w:pPr>
      <w:r>
        <w:t xml:space="preserve">Prioritization</w:t>
      </w:r>
    </w:p>
    <w:bookmarkStart w:id="225"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66"/>
        </w:numPr>
      </w:pPr>
      <w:r>
        <w:rPr>
          <w:b/>
          <w:bCs/>
        </w:rPr>
        <w:t xml:space="preserve">Must have</w:t>
      </w:r>
      <w:r>
        <w:t xml:space="preserve">: Essential for go-live</w:t>
      </w:r>
    </w:p>
    <w:p>
      <w:pPr>
        <w:pStyle w:val="Compact"/>
        <w:numPr>
          <w:ilvl w:val="0"/>
          <w:numId w:val="1066"/>
        </w:numPr>
      </w:pPr>
      <w:r>
        <w:rPr>
          <w:b/>
          <w:bCs/>
        </w:rPr>
        <w:t xml:space="preserve">Should have</w:t>
      </w:r>
      <w:r>
        <w:t xml:space="preserve">: Important but not critical</w:t>
      </w:r>
    </w:p>
    <w:p>
      <w:pPr>
        <w:pStyle w:val="Compact"/>
        <w:numPr>
          <w:ilvl w:val="0"/>
          <w:numId w:val="1066"/>
        </w:numPr>
      </w:pPr>
      <w:r>
        <w:rPr>
          <w:b/>
          <w:bCs/>
        </w:rPr>
        <w:t xml:space="preserve">Could have</w:t>
      </w:r>
      <w:r>
        <w:t xml:space="preserve">: Desirable if time permits</w:t>
      </w:r>
    </w:p>
    <w:p>
      <w:pPr>
        <w:pStyle w:val="Compact"/>
        <w:numPr>
          <w:ilvl w:val="0"/>
          <w:numId w:val="1066"/>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67"/>
        </w:numPr>
      </w:pPr>
      <w:r>
        <w:t xml:space="preserve">Basic needs (expected, cause dissatisfaction if missing)</w:t>
      </w:r>
    </w:p>
    <w:p>
      <w:pPr>
        <w:pStyle w:val="Compact"/>
        <w:numPr>
          <w:ilvl w:val="0"/>
          <w:numId w:val="1067"/>
        </w:numPr>
      </w:pPr>
      <w:r>
        <w:t xml:space="preserve">Performance needs (more is better)</w:t>
      </w:r>
    </w:p>
    <w:p>
      <w:pPr>
        <w:pStyle w:val="Compact"/>
        <w:numPr>
          <w:ilvl w:val="0"/>
          <w:numId w:val="1067"/>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andre\AppData\Local\Programs\Quarto\share\formats\docx\note.png" id="22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68"/>
              </w:numPr>
            </w:pPr>
            <w:r>
              <w:t xml:space="preserve">Case entry and coding functionality</w:t>
            </w:r>
          </w:p>
          <w:p>
            <w:pPr>
              <w:pStyle w:val="Compact"/>
              <w:numPr>
                <w:ilvl w:val="0"/>
                <w:numId w:val="1068"/>
              </w:numPr>
            </w:pPr>
            <w:r>
              <w:t xml:space="preserve">HIPAA-compliant security</w:t>
            </w:r>
          </w:p>
          <w:p>
            <w:pPr>
              <w:pStyle w:val="Compact"/>
              <w:numPr>
                <w:ilvl w:val="0"/>
                <w:numId w:val="1068"/>
              </w:numPr>
            </w:pPr>
            <w:r>
              <w:t xml:space="preserve">NPCR data submission capability</w:t>
            </w:r>
          </w:p>
          <w:p>
            <w:pPr>
              <w:pStyle w:val="FirstParagraph"/>
            </w:pPr>
            <w:r>
              <w:rPr>
                <w:b/>
                <w:bCs/>
              </w:rPr>
              <w:t xml:space="preserve">Should Have:</w:t>
            </w:r>
          </w:p>
          <w:p>
            <w:pPr>
              <w:pStyle w:val="Compact"/>
              <w:numPr>
                <w:ilvl w:val="0"/>
                <w:numId w:val="1069"/>
              </w:numPr>
            </w:pPr>
            <w:r>
              <w:t xml:space="preserve">Real-time analytics dashboard</w:t>
            </w:r>
          </w:p>
          <w:p>
            <w:pPr>
              <w:pStyle w:val="Compact"/>
              <w:numPr>
                <w:ilvl w:val="0"/>
                <w:numId w:val="1069"/>
              </w:numPr>
            </w:pPr>
            <w:r>
              <w:t xml:space="preserve">Mobile-friendly interface</w:t>
            </w:r>
          </w:p>
          <w:p>
            <w:pPr>
              <w:pStyle w:val="Compact"/>
              <w:numPr>
                <w:ilvl w:val="0"/>
                <w:numId w:val="1069"/>
              </w:numPr>
            </w:pPr>
            <w:r>
              <w:t xml:space="preserve">Automated duplicate detection</w:t>
            </w:r>
          </w:p>
          <w:p>
            <w:pPr>
              <w:pStyle w:val="FirstParagraph"/>
            </w:pPr>
            <w:r>
              <w:rPr>
                <w:b/>
                <w:bCs/>
              </w:rPr>
              <w:t xml:space="preserve">Could Have:</w:t>
            </w:r>
          </w:p>
          <w:p>
            <w:pPr>
              <w:pStyle w:val="Compact"/>
              <w:numPr>
                <w:ilvl w:val="0"/>
                <w:numId w:val="1070"/>
              </w:numPr>
            </w:pPr>
            <w:r>
              <w:t xml:space="preserve">Machine learning for coding assistance</w:t>
            </w:r>
          </w:p>
          <w:p>
            <w:pPr>
              <w:pStyle w:val="Compact"/>
              <w:numPr>
                <w:ilvl w:val="0"/>
                <w:numId w:val="1070"/>
              </w:numPr>
            </w:pPr>
            <w:r>
              <w:t xml:space="preserve">Patient portal for self-reported outcomes</w:t>
            </w:r>
          </w:p>
          <w:p>
            <w:pPr>
              <w:pStyle w:val="Compact"/>
              <w:numPr>
                <w:ilvl w:val="0"/>
                <w:numId w:val="1070"/>
              </w:numPr>
            </w:pPr>
            <w:r>
              <w:t xml:space="preserve">Integration with research databases</w:t>
            </w:r>
          </w:p>
          <w:p/>
        </w:tc>
      </w:tr>
    </w:tbl>
    <w:bookmarkEnd w:id="225"/>
    <w:bookmarkEnd w:id="226"/>
    <w:bookmarkStart w:id="232" w:name="requirements-traceability"/>
    <w:p>
      <w:pPr>
        <w:pStyle w:val="Heading3"/>
      </w:pPr>
      <w:r>
        <w:t xml:space="preserve">Requirements Traceability</w:t>
      </w:r>
    </w:p>
    <w:bookmarkStart w:id="231"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30" w:name="fig-traceability"/>
          <w:p>
            <w:pPr>
              <w:jc w:val="center"/>
            </w:pPr>
            <w:r>
              <w:drawing>
                <wp:inline>
                  <wp:extent cx="3685032" cy="4096512"/>
                  <wp:effectExtent b="0" l="0" r="0" t="0"/>
                  <wp:docPr descr="" title="" id="228" name="Picture"/>
                  <a:graphic>
                    <a:graphicData uri="http://schemas.openxmlformats.org/drawingml/2006/picture">
                      <pic:pic>
                        <pic:nvPicPr>
                          <pic:cNvPr descr="chapters/06-requirements_files\figure-docx\mermaid-figure-2.png" id="229" name="Picture"/>
                          <pic:cNvPicPr>
                            <a:picLocks noChangeArrowheads="1" noChangeAspect="1"/>
                          </pic:cNvPicPr>
                        </pic:nvPicPr>
                        <pic:blipFill>
                          <a:blip r:embed="rId227"/>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230"/>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31"/>
    <w:bookmarkEnd w:id="232"/>
    <w:bookmarkStart w:id="238" w:name="specification-formats"/>
    <w:p>
      <w:pPr>
        <w:pStyle w:val="Heading3"/>
      </w:pPr>
      <w:r>
        <w:t xml:space="preserve">Specification Formats</w:t>
      </w:r>
    </w:p>
    <w:bookmarkStart w:id="233"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33"/>
    <w:bookmarkStart w:id="234"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71"/>
        </w:numPr>
      </w:pPr>
      <w:r>
        <w:t xml:space="preserve">Given [context], when [action], then [result]</w:t>
      </w:r>
    </w:p>
    <w:bookmarkEnd w:id="234"/>
    <w:bookmarkStart w:id="237"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andre\AppData\Local\Programs\Quarto\share\formats\docx\note.png" id="2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72"/>
              </w:numPr>
            </w:pPr>
            <w:r>
              <w:t xml:space="preserve">Given a patient name, when the registrar searches, then matching cases display within 3 seconds</w:t>
            </w:r>
          </w:p>
          <w:p>
            <w:pPr>
              <w:pStyle w:val="Compact"/>
              <w:numPr>
                <w:ilvl w:val="0"/>
                <w:numId w:val="1072"/>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37"/>
    <w:bookmarkEnd w:id="238"/>
    <w:bookmarkStart w:id="239"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39"/>
    <w:bookmarkStart w:id="240"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40"/>
    <w:bookmarkEnd w:id="241"/>
    <w:bookmarkEnd w:id="242"/>
    <w:bookmarkStart w:id="275" w:name="design-solution-definition"/>
    <w:p>
      <w:pPr>
        <w:pStyle w:val="Heading1"/>
      </w:pPr>
      <w:r>
        <w:t xml:space="preserve">Design &amp; Solution Definition</w:t>
      </w:r>
    </w:p>
    <w:bookmarkStart w:id="274"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43"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43"/>
    <w:bookmarkStart w:id="248" w:name="architecture-and-framework"/>
    <w:p>
      <w:pPr>
        <w:pStyle w:val="Heading3"/>
      </w:pPr>
      <w:r>
        <w:t xml:space="preserve">Architecture and Framework</w:t>
      </w:r>
    </w:p>
    <w:bookmarkStart w:id="244" w:name="solution-architecture"/>
    <w:p>
      <w:pPr>
        <w:pStyle w:val="Heading4"/>
      </w:pPr>
      <w:r>
        <w:t xml:space="preserve">Solution Architecture</w:t>
      </w:r>
    </w:p>
    <w:p>
      <w:pPr>
        <w:pStyle w:val="FirstParagraph"/>
      </w:pPr>
      <w:r>
        <w:t xml:space="preserve">BA solution architecture defines:</w:t>
      </w:r>
    </w:p>
    <w:p>
      <w:pPr>
        <w:pStyle w:val="Compact"/>
        <w:numPr>
          <w:ilvl w:val="0"/>
          <w:numId w:val="1073"/>
        </w:numPr>
      </w:pPr>
      <w:r>
        <w:t xml:space="preserve">System components and their relationships</w:t>
      </w:r>
    </w:p>
    <w:p>
      <w:pPr>
        <w:pStyle w:val="Compact"/>
        <w:numPr>
          <w:ilvl w:val="0"/>
          <w:numId w:val="1073"/>
        </w:numPr>
      </w:pPr>
      <w:r>
        <w:t xml:space="preserve">Technology stack selection</w:t>
      </w:r>
    </w:p>
    <w:p>
      <w:pPr>
        <w:pStyle w:val="Compact"/>
        <w:numPr>
          <w:ilvl w:val="0"/>
          <w:numId w:val="1073"/>
        </w:numPr>
      </w:pPr>
      <w:r>
        <w:t xml:space="preserve">Integration points with existing systems</w:t>
      </w:r>
    </w:p>
    <w:p>
      <w:pPr>
        <w:pStyle w:val="Compact"/>
        <w:numPr>
          <w:ilvl w:val="0"/>
          <w:numId w:val="1073"/>
        </w:numPr>
      </w:pPr>
      <w:r>
        <w:t xml:space="preserve">Data flow between components</w:t>
      </w:r>
    </w:p>
    <w:p>
      <w:pPr>
        <w:pStyle w:val="Compact"/>
        <w:numPr>
          <w:ilvl w:val="0"/>
          <w:numId w:val="1073"/>
        </w:numPr>
      </w:pPr>
      <w:r>
        <w:t xml:space="preserve">Security architecture</w:t>
      </w:r>
    </w:p>
    <w:bookmarkEnd w:id="244"/>
    <w:bookmarkStart w:id="247" w:name="intervention-framework"/>
    <w:p>
      <w:pPr>
        <w:pStyle w:val="Heading4"/>
      </w:pPr>
      <w:r>
        <w:t xml:space="preserve">Intervention Framework</w:t>
      </w:r>
    </w:p>
    <w:p>
      <w:pPr>
        <w:pStyle w:val="FirstParagraph"/>
      </w:pPr>
      <w:r>
        <w:t xml:space="preserve">PH intervention design defines:</w:t>
      </w:r>
    </w:p>
    <w:p>
      <w:pPr>
        <w:pStyle w:val="Compact"/>
        <w:numPr>
          <w:ilvl w:val="0"/>
          <w:numId w:val="1074"/>
        </w:numPr>
      </w:pPr>
      <w:r>
        <w:t xml:space="preserve">Core intervention components</w:t>
      </w:r>
    </w:p>
    <w:p>
      <w:pPr>
        <w:pStyle w:val="Compact"/>
        <w:numPr>
          <w:ilvl w:val="0"/>
          <w:numId w:val="1074"/>
        </w:numPr>
      </w:pPr>
      <w:r>
        <w:t xml:space="preserve">Delivery mechanisms</w:t>
      </w:r>
    </w:p>
    <w:p>
      <w:pPr>
        <w:pStyle w:val="Compact"/>
        <w:numPr>
          <w:ilvl w:val="0"/>
          <w:numId w:val="1074"/>
        </w:numPr>
      </w:pPr>
      <w:r>
        <w:t xml:space="preserve">Target populations</w:t>
      </w:r>
    </w:p>
    <w:p>
      <w:pPr>
        <w:pStyle w:val="Compact"/>
        <w:numPr>
          <w:ilvl w:val="0"/>
          <w:numId w:val="1074"/>
        </w:numPr>
      </w:pPr>
      <w:r>
        <w:t xml:space="preserve">Adaptable vs. core elements</w:t>
      </w:r>
    </w:p>
    <w:p>
      <w:pPr>
        <w:pStyle w:val="Compact"/>
        <w:numPr>
          <w:ilvl w:val="0"/>
          <w:numId w:val="1074"/>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C:\Users\andre\AppData\Local\Programs\Quarto\share\formats\docx\note.png" id="2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75"/>
              </w:numPr>
            </w:pPr>
            <w:r>
              <w:rPr>
                <w:b/>
                <w:bCs/>
              </w:rPr>
              <w:t xml:space="preserve">Core components</w:t>
            </w:r>
            <w:r>
              <w:t xml:space="preserve">: Case abstraction, data quality, NPCR reporting (non-negotiable)</w:t>
            </w:r>
          </w:p>
          <w:p>
            <w:pPr>
              <w:pStyle w:val="Compact"/>
              <w:numPr>
                <w:ilvl w:val="0"/>
                <w:numId w:val="1075"/>
              </w:numPr>
            </w:pPr>
            <w:r>
              <w:rPr>
                <w:b/>
                <w:bCs/>
              </w:rPr>
              <w:t xml:space="preserve">Adaptable elements</w:t>
            </w:r>
            <w:r>
              <w:t xml:space="preserve">: Dashboard customization, local report templates</w:t>
            </w:r>
          </w:p>
          <w:p>
            <w:pPr>
              <w:pStyle w:val="Compact"/>
              <w:numPr>
                <w:ilvl w:val="0"/>
                <w:numId w:val="1075"/>
              </w:numPr>
            </w:pPr>
            <w:r>
              <w:rPr>
                <w:b/>
                <w:bCs/>
              </w:rPr>
              <w:t xml:space="preserve">Delivery mechanism</w:t>
            </w:r>
            <w:r>
              <w:t xml:space="preserve">: Cloud-based SaaS with local training support</w:t>
            </w:r>
          </w:p>
          <w:p>
            <w:pPr>
              <w:pStyle w:val="Compact"/>
              <w:numPr>
                <w:ilvl w:val="0"/>
                <w:numId w:val="1075"/>
              </w:numPr>
            </w:pPr>
            <w:r>
              <w:rPr>
                <w:b/>
                <w:bCs/>
              </w:rPr>
              <w:t xml:space="preserve">Target population</w:t>
            </w:r>
            <w:r>
              <w:t xml:space="preserve">: State cancer registries, hospital tumor registrars</w:t>
            </w:r>
          </w:p>
          <w:p/>
        </w:tc>
      </w:tr>
    </w:tbl>
    <w:bookmarkEnd w:id="247"/>
    <w:bookmarkEnd w:id="248"/>
    <w:bookmarkStart w:id="251" w:name="design-patterns"/>
    <w:p>
      <w:pPr>
        <w:pStyle w:val="Heading3"/>
      </w:pPr>
      <w:r>
        <w:t xml:space="preserve">Design Patterns</w:t>
      </w:r>
    </w:p>
    <w:bookmarkStart w:id="249"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76"/>
        </w:numPr>
      </w:pPr>
      <w:r>
        <w:t xml:space="preserve">Wireframes and mockups</w:t>
      </w:r>
    </w:p>
    <w:p>
      <w:pPr>
        <w:pStyle w:val="Compact"/>
        <w:numPr>
          <w:ilvl w:val="0"/>
          <w:numId w:val="1076"/>
        </w:numPr>
      </w:pPr>
      <w:r>
        <w:t xml:space="preserve">User journey mapping</w:t>
      </w:r>
    </w:p>
    <w:p>
      <w:pPr>
        <w:pStyle w:val="Compact"/>
        <w:numPr>
          <w:ilvl w:val="0"/>
          <w:numId w:val="1076"/>
        </w:numPr>
      </w:pPr>
      <w:r>
        <w:t xml:space="preserve">Usability testing</w:t>
      </w:r>
    </w:p>
    <w:p>
      <w:pPr>
        <w:pStyle w:val="Compact"/>
        <w:numPr>
          <w:ilvl w:val="0"/>
          <w:numId w:val="1076"/>
        </w:numPr>
      </w:pPr>
      <w:r>
        <w:t xml:space="preserve">Accessibility compliance (WCAG)</w:t>
      </w:r>
    </w:p>
    <w:p>
      <w:pPr>
        <w:pStyle w:val="FirstParagraph"/>
      </w:pPr>
      <w:r>
        <w:rPr>
          <w:b/>
          <w:bCs/>
        </w:rPr>
        <w:t xml:space="preserve">PH Service Design Approach:</w:t>
      </w:r>
    </w:p>
    <w:p>
      <w:pPr>
        <w:pStyle w:val="Compact"/>
        <w:numPr>
          <w:ilvl w:val="0"/>
          <w:numId w:val="1077"/>
        </w:numPr>
      </w:pPr>
      <w:r>
        <w:t xml:space="preserve">Patient journey mapping</w:t>
      </w:r>
    </w:p>
    <w:p>
      <w:pPr>
        <w:pStyle w:val="Compact"/>
        <w:numPr>
          <w:ilvl w:val="0"/>
          <w:numId w:val="1077"/>
        </w:numPr>
      </w:pPr>
      <w:r>
        <w:t xml:space="preserve">Cultural competency review</w:t>
      </w:r>
    </w:p>
    <w:p>
      <w:pPr>
        <w:pStyle w:val="Compact"/>
        <w:numPr>
          <w:ilvl w:val="0"/>
          <w:numId w:val="1077"/>
        </w:numPr>
      </w:pPr>
      <w:r>
        <w:t xml:space="preserve">Health literacy assessment</w:t>
      </w:r>
    </w:p>
    <w:p>
      <w:pPr>
        <w:pStyle w:val="Compact"/>
        <w:numPr>
          <w:ilvl w:val="0"/>
          <w:numId w:val="1077"/>
        </w:numPr>
      </w:pPr>
      <w:r>
        <w:t xml:space="preserve">Equity impact analysis</w:t>
      </w:r>
    </w:p>
    <w:bookmarkEnd w:id="249"/>
    <w:bookmarkStart w:id="250"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50"/>
    <w:bookmarkEnd w:id="251"/>
    <w:bookmarkStart w:id="258" w:name="integration-design"/>
    <w:p>
      <w:pPr>
        <w:pStyle w:val="Heading3"/>
      </w:pPr>
      <w:r>
        <w:t xml:space="preserve">Integration Design</w:t>
      </w:r>
    </w:p>
    <w:bookmarkStart w:id="256"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55" w:name="fig-integration"/>
          <w:p>
            <w:pPr>
              <w:jc w:val="center"/>
            </w:pPr>
            <w:r>
              <w:drawing>
                <wp:inline>
                  <wp:extent cx="6400800" cy="3203522"/>
                  <wp:effectExtent b="0" l="0" r="0" t="0"/>
                  <wp:docPr descr="" title="" id="253" name="Picture"/>
                  <a:graphic>
                    <a:graphicData uri="http://schemas.openxmlformats.org/drawingml/2006/picture">
                      <pic:pic>
                        <pic:nvPicPr>
                          <pic:cNvPr descr="chapters/07-design_files\figure-docx\mermaid-figure-1.png" id="254" name="Picture"/>
                          <pic:cNvPicPr>
                            <a:picLocks noChangeArrowheads="1" noChangeAspect="1"/>
                          </pic:cNvPicPr>
                        </pic:nvPicPr>
                        <pic:blipFill>
                          <a:blip r:embed="rId252"/>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55"/>
        </w:tc>
      </w:tr>
    </w:tbl>
    <w:bookmarkEnd w:id="256"/>
    <w:bookmarkStart w:id="257"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57"/>
    <w:bookmarkEnd w:id="258"/>
    <w:bookmarkStart w:id="262" w:name="implementation-readiness-assessment"/>
    <w:p>
      <w:pPr>
        <w:pStyle w:val="Heading3"/>
      </w:pPr>
      <w:r>
        <w:t xml:space="preserve">Implementation Readiness Assessment</w:t>
      </w:r>
    </w:p>
    <w:bookmarkStart w:id="261"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andre\AppData\Local\Programs\Quarto\share\formats\docx\note.png" id="2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61"/>
    <w:bookmarkEnd w:id="262"/>
    <w:bookmarkStart w:id="265" w:name="prototyping-and-validation"/>
    <w:p>
      <w:pPr>
        <w:pStyle w:val="Heading3"/>
      </w:pPr>
      <w:r>
        <w:t xml:space="preserve">Prototyping and Validation</w:t>
      </w:r>
    </w:p>
    <w:bookmarkStart w:id="263"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78"/>
        </w:numPr>
      </w:pPr>
      <w:r>
        <w:t xml:space="preserve">Low-fidelity wireframes for concept validation</w:t>
      </w:r>
    </w:p>
    <w:p>
      <w:pPr>
        <w:pStyle w:val="Compact"/>
        <w:numPr>
          <w:ilvl w:val="0"/>
          <w:numId w:val="1078"/>
        </w:numPr>
      </w:pPr>
      <w:r>
        <w:t xml:space="preserve">High-fidelity mockups for detailed feedback</w:t>
      </w:r>
    </w:p>
    <w:p>
      <w:pPr>
        <w:pStyle w:val="Compact"/>
        <w:numPr>
          <w:ilvl w:val="0"/>
          <w:numId w:val="1078"/>
        </w:numPr>
      </w:pPr>
      <w:r>
        <w:t xml:space="preserve">Interactive prototypes for workflow testing</w:t>
      </w:r>
    </w:p>
    <w:p>
      <w:pPr>
        <w:pStyle w:val="Compact"/>
        <w:numPr>
          <w:ilvl w:val="0"/>
          <w:numId w:val="1078"/>
        </w:numPr>
      </w:pPr>
      <w:r>
        <w:t xml:space="preserve">MVP (Minimum Viable Product) for market validation</w:t>
      </w:r>
    </w:p>
    <w:p>
      <w:pPr>
        <w:pStyle w:val="FirstParagraph"/>
      </w:pPr>
      <w:r>
        <w:rPr>
          <w:b/>
          <w:bCs/>
        </w:rPr>
        <w:t xml:space="preserve">PH Piloting:</w:t>
      </w:r>
    </w:p>
    <w:p>
      <w:pPr>
        <w:pStyle w:val="Compact"/>
        <w:numPr>
          <w:ilvl w:val="0"/>
          <w:numId w:val="1079"/>
        </w:numPr>
      </w:pPr>
      <w:r>
        <w:t xml:space="preserve">Formative research with target population</w:t>
      </w:r>
    </w:p>
    <w:p>
      <w:pPr>
        <w:pStyle w:val="Compact"/>
        <w:numPr>
          <w:ilvl w:val="0"/>
          <w:numId w:val="1079"/>
        </w:numPr>
      </w:pPr>
      <w:r>
        <w:t xml:space="preserve">Pilot testing in representative sites</w:t>
      </w:r>
    </w:p>
    <w:p>
      <w:pPr>
        <w:pStyle w:val="Compact"/>
        <w:numPr>
          <w:ilvl w:val="0"/>
          <w:numId w:val="1079"/>
        </w:numPr>
      </w:pPr>
      <w:r>
        <w:t xml:space="preserve">Rapid cycle evaluation (PDSA)</w:t>
      </w:r>
    </w:p>
    <w:p>
      <w:pPr>
        <w:pStyle w:val="Compact"/>
        <w:numPr>
          <w:ilvl w:val="0"/>
          <w:numId w:val="1079"/>
        </w:numPr>
      </w:pPr>
      <w:r>
        <w:t xml:space="preserve">Fidelity assessment</w:t>
      </w:r>
    </w:p>
    <w:bookmarkEnd w:id="263"/>
    <w:bookmarkStart w:id="264"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64"/>
    <w:bookmarkEnd w:id="265"/>
    <w:bookmarkStart w:id="269" w:name="change-management-planning"/>
    <w:p>
      <w:pPr>
        <w:pStyle w:val="Heading3"/>
      </w:pPr>
      <w:r>
        <w:t xml:space="preserve">Change Management Planning</w:t>
      </w:r>
    </w:p>
    <w:bookmarkStart w:id="268"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80"/>
        </w:numPr>
      </w:pPr>
      <w:r>
        <w:t xml:space="preserve">Stakeholder impact analysis</w:t>
      </w:r>
    </w:p>
    <w:p>
      <w:pPr>
        <w:pStyle w:val="Compact"/>
        <w:numPr>
          <w:ilvl w:val="0"/>
          <w:numId w:val="1080"/>
        </w:numPr>
      </w:pPr>
      <w:r>
        <w:t xml:space="preserve">Communication plan</w:t>
      </w:r>
    </w:p>
    <w:p>
      <w:pPr>
        <w:pStyle w:val="Compact"/>
        <w:numPr>
          <w:ilvl w:val="0"/>
          <w:numId w:val="1080"/>
        </w:numPr>
      </w:pPr>
      <w:r>
        <w:t xml:space="preserve">Training plan</w:t>
      </w:r>
    </w:p>
    <w:p>
      <w:pPr>
        <w:pStyle w:val="Compact"/>
        <w:numPr>
          <w:ilvl w:val="0"/>
          <w:numId w:val="1080"/>
        </w:numPr>
      </w:pPr>
      <w:r>
        <w:t xml:space="preserve">Resistance management</w:t>
      </w:r>
    </w:p>
    <w:p>
      <w:pPr>
        <w:pStyle w:val="Compact"/>
        <w:numPr>
          <w:ilvl w:val="0"/>
          <w:numId w:val="1080"/>
        </w:numPr>
      </w:pPr>
      <w:r>
        <w:t xml:space="preserve">Transition strategy</w:t>
      </w:r>
    </w:p>
    <w:p>
      <w:pPr>
        <w:pStyle w:val="FirstParagraph"/>
      </w:pPr>
      <w:r>
        <w:rPr>
          <w:b/>
          <w:bCs/>
        </w:rPr>
        <w:t xml:space="preserve">PH Implementation Planning:</w:t>
      </w:r>
    </w:p>
    <w:p>
      <w:pPr>
        <w:pStyle w:val="Compact"/>
        <w:numPr>
          <w:ilvl w:val="0"/>
          <w:numId w:val="1081"/>
        </w:numPr>
      </w:pPr>
      <w:r>
        <w:t xml:space="preserve">Capacity building</w:t>
      </w:r>
    </w:p>
    <w:p>
      <w:pPr>
        <w:pStyle w:val="Compact"/>
        <w:numPr>
          <w:ilvl w:val="0"/>
          <w:numId w:val="1081"/>
        </w:numPr>
      </w:pPr>
      <w:r>
        <w:t xml:space="preserve">Technical assistance model</w:t>
      </w:r>
    </w:p>
    <w:p>
      <w:pPr>
        <w:pStyle w:val="Compact"/>
        <w:numPr>
          <w:ilvl w:val="0"/>
          <w:numId w:val="1081"/>
        </w:numPr>
      </w:pPr>
      <w:r>
        <w:t xml:space="preserve">Sustainability planning</w:t>
      </w:r>
    </w:p>
    <w:p>
      <w:pPr>
        <w:pStyle w:val="Compact"/>
        <w:numPr>
          <w:ilvl w:val="0"/>
          <w:numId w:val="1081"/>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C:\Users\andre\AppData\Local\Programs\Quarto\share\formats\docx\note.png" id="2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68"/>
    <w:bookmarkEnd w:id="269"/>
    <w:bookmarkStart w:id="271" w:name="design-documentation"/>
    <w:p>
      <w:pPr>
        <w:pStyle w:val="Heading3"/>
      </w:pPr>
      <w:r>
        <w:t xml:space="preserve">Design Documentation</w:t>
      </w:r>
    </w:p>
    <w:bookmarkStart w:id="270"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70"/>
    <w:bookmarkEnd w:id="271"/>
    <w:bookmarkStart w:id="272"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72"/>
    <w:bookmarkStart w:id="273"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73"/>
    <w:bookmarkEnd w:id="274"/>
    <w:bookmarkEnd w:id="275"/>
    <w:bookmarkStart w:id="312" w:name="implementation-execution"/>
    <w:p>
      <w:pPr>
        <w:pStyle w:val="Heading1"/>
      </w:pPr>
      <w:r>
        <w:t xml:space="preserve">Implementation &amp; Execution</w:t>
      </w:r>
    </w:p>
    <w:bookmarkStart w:id="311"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76"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76"/>
    <w:bookmarkStart w:id="281"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80" w:name="fig-double-loop"/>
          <w:p>
            <w:pPr>
              <w:jc w:val="center"/>
            </w:pPr>
            <w:r>
              <w:drawing>
                <wp:inline>
                  <wp:extent cx="6400800" cy="1876346"/>
                  <wp:effectExtent b="0" l="0" r="0" t="0"/>
                  <wp:docPr descr="" title="" id="278" name="Picture"/>
                  <a:graphic>
                    <a:graphicData uri="http://schemas.openxmlformats.org/drawingml/2006/picture">
                      <pic:pic>
                        <pic:nvPicPr>
                          <pic:cNvPr descr="chapters/08-implementation_files\figure-docx\mermaid-figure-1.png" id="279" name="Picture"/>
                          <pic:cNvPicPr>
                            <a:picLocks noChangeArrowheads="1" noChangeAspect="1"/>
                          </pic:cNvPicPr>
                        </pic:nvPicPr>
                        <pic:blipFill>
                          <a:blip r:embed="rId277"/>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80"/>
        </w:tc>
      </w:tr>
    </w:tbl>
    <w:p>
      <w:pPr>
        <w:pStyle w:val="BodyText"/>
      </w:pPr>
      <w:r>
        <w:t xml:space="preserve">The BA must ensure both loops are synchronized: software releases should align with epidemiological reporting cycles.</w:t>
      </w:r>
    </w:p>
    <w:bookmarkEnd w:id="281"/>
    <w:bookmarkStart w:id="287" w:name="agile-practices-adapted"/>
    <w:p>
      <w:pPr>
        <w:pStyle w:val="Heading3"/>
      </w:pPr>
      <w:r>
        <w:t xml:space="preserve">Agile Practices Adapted</w:t>
      </w:r>
    </w:p>
    <w:bookmarkStart w:id="284" w:name="sprint-planning"/>
    <w:p>
      <w:pPr>
        <w:pStyle w:val="Heading4"/>
      </w:pPr>
      <w:r>
        <w:t xml:space="preserve">Sprint Planning</w:t>
      </w:r>
    </w:p>
    <w:p>
      <w:pPr>
        <w:pStyle w:val="FirstParagraph"/>
      </w:pPr>
      <w:r>
        <w:rPr>
          <w:b/>
          <w:bCs/>
        </w:rPr>
        <w:t xml:space="preserve">Traditional Agile:</w:t>
      </w:r>
    </w:p>
    <w:p>
      <w:pPr>
        <w:pStyle w:val="Compact"/>
        <w:numPr>
          <w:ilvl w:val="0"/>
          <w:numId w:val="1082"/>
        </w:numPr>
      </w:pPr>
      <w:r>
        <w:t xml:space="preserve">Product owner prioritizes backlog</w:t>
      </w:r>
    </w:p>
    <w:p>
      <w:pPr>
        <w:pStyle w:val="Compact"/>
        <w:numPr>
          <w:ilvl w:val="0"/>
          <w:numId w:val="1082"/>
        </w:numPr>
      </w:pPr>
      <w:r>
        <w:t xml:space="preserve">Team selects stories for sprint</w:t>
      </w:r>
    </w:p>
    <w:p>
      <w:pPr>
        <w:pStyle w:val="Compact"/>
        <w:numPr>
          <w:ilvl w:val="0"/>
          <w:numId w:val="1082"/>
        </w:numPr>
      </w:pPr>
      <w:r>
        <w:t xml:space="preserve">Stories estimated in points</w:t>
      </w:r>
    </w:p>
    <w:p>
      <w:pPr>
        <w:pStyle w:val="Compact"/>
        <w:numPr>
          <w:ilvl w:val="0"/>
          <w:numId w:val="1082"/>
        </w:numPr>
      </w:pPr>
      <w:r>
        <w:t xml:space="preserve">Sprint goal defined</w:t>
      </w:r>
    </w:p>
    <w:p>
      <w:pPr>
        <w:pStyle w:val="FirstParagraph"/>
      </w:pPr>
      <w:r>
        <w:rPr>
          <w:b/>
          <w:bCs/>
        </w:rPr>
        <w:t xml:space="preserve">Public Health Adaptation:</w:t>
      </w:r>
    </w:p>
    <w:p>
      <w:pPr>
        <w:pStyle w:val="Compact"/>
        <w:numPr>
          <w:ilvl w:val="0"/>
          <w:numId w:val="1083"/>
        </w:numPr>
      </w:pPr>
      <w:r>
        <w:t xml:space="preserve">Program manager prioritizes based on grant milestones</w:t>
      </w:r>
    </w:p>
    <w:p>
      <w:pPr>
        <w:pStyle w:val="Compact"/>
        <w:numPr>
          <w:ilvl w:val="0"/>
          <w:numId w:val="1083"/>
        </w:numPr>
      </w:pPr>
      <w:r>
        <w:t xml:space="preserve">Team considers reporting deadlines</w:t>
      </w:r>
    </w:p>
    <w:p>
      <w:pPr>
        <w:pStyle w:val="Compact"/>
        <w:numPr>
          <w:ilvl w:val="0"/>
          <w:numId w:val="1083"/>
        </w:numPr>
      </w:pPr>
      <w:r>
        <w:t xml:space="preserve">Stories linked to program objectives</w:t>
      </w:r>
    </w:p>
    <w:p>
      <w:pPr>
        <w:pStyle w:val="Compact"/>
        <w:numPr>
          <w:ilvl w:val="0"/>
          <w:numId w:val="1083"/>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andre\AppData\Local\Programs\Quarto\share\formats\docx\note.png" id="28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84"/>
    <w:bookmarkStart w:id="285"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85"/>
    <w:bookmarkStart w:id="286"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86"/>
    <w:bookmarkEnd w:id="287"/>
    <w:bookmarkStart w:id="292" w:name="testing-in-health-it"/>
    <w:p>
      <w:pPr>
        <w:pStyle w:val="Heading3"/>
      </w:pPr>
      <w:r>
        <w:t xml:space="preserve">Testing in Health IT</w:t>
      </w:r>
    </w:p>
    <w:bookmarkStart w:id="288"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88"/>
    <w:bookmarkStart w:id="291"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84"/>
        </w:numPr>
      </w:pPr>
      <w:r>
        <w:t xml:space="preserve">Does the system do what was specified?</w:t>
      </w:r>
    </w:p>
    <w:p>
      <w:pPr>
        <w:pStyle w:val="Compact"/>
        <w:numPr>
          <w:ilvl w:val="0"/>
          <w:numId w:val="1084"/>
        </w:numPr>
      </w:pPr>
      <w:r>
        <w:t xml:space="preserve">Do users accept the interface?</w:t>
      </w:r>
    </w:p>
    <w:p>
      <w:pPr>
        <w:pStyle w:val="Compact"/>
        <w:numPr>
          <w:ilvl w:val="0"/>
          <w:numId w:val="1084"/>
        </w:numPr>
      </w:pPr>
      <w:r>
        <w:t xml:space="preserve">Are performance requirements met?</w:t>
      </w:r>
    </w:p>
    <w:p>
      <w:pPr>
        <w:pStyle w:val="FirstParagraph"/>
      </w:pPr>
      <w:r>
        <w:rPr>
          <w:b/>
          <w:bCs/>
        </w:rPr>
        <w:t xml:space="preserve">Clinical UAT Additions:</w:t>
      </w:r>
    </w:p>
    <w:p>
      <w:pPr>
        <w:pStyle w:val="Compact"/>
        <w:numPr>
          <w:ilvl w:val="0"/>
          <w:numId w:val="1085"/>
        </w:numPr>
      </w:pPr>
      <w:r>
        <w:t xml:space="preserve">Do clinical workflows function correctly?</w:t>
      </w:r>
    </w:p>
    <w:p>
      <w:pPr>
        <w:pStyle w:val="Compact"/>
        <w:numPr>
          <w:ilvl w:val="0"/>
          <w:numId w:val="1085"/>
        </w:numPr>
      </w:pPr>
      <w:r>
        <w:t xml:space="preserve">Does data quality meet standards?</w:t>
      </w:r>
    </w:p>
    <w:p>
      <w:pPr>
        <w:pStyle w:val="Compact"/>
        <w:numPr>
          <w:ilvl w:val="0"/>
          <w:numId w:val="1085"/>
        </w:numPr>
      </w:pPr>
      <w:r>
        <w:t xml:space="preserve">Do edits align with NAACCR rules?</w:t>
      </w:r>
    </w:p>
    <w:p>
      <w:pPr>
        <w:pStyle w:val="Compact"/>
        <w:numPr>
          <w:ilvl w:val="0"/>
          <w:numId w:val="1085"/>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C:\Users\andre\AppData\Local\Programs\Quarto\share\formats\docx\note.png" id="2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91"/>
    <w:bookmarkEnd w:id="292"/>
    <w:bookmarkStart w:id="295" w:name="managing-change"/>
    <w:p>
      <w:pPr>
        <w:pStyle w:val="Heading3"/>
      </w:pPr>
      <w:r>
        <w:t xml:space="preserve">Managing Change</w:t>
      </w:r>
    </w:p>
    <w:bookmarkStart w:id="293"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86"/>
        </w:numPr>
      </w:pPr>
      <w:r>
        <w:t xml:space="preserve">Leadership commitment</w:t>
      </w:r>
    </w:p>
    <w:p>
      <w:pPr>
        <w:pStyle w:val="Compact"/>
        <w:numPr>
          <w:ilvl w:val="0"/>
          <w:numId w:val="1086"/>
        </w:numPr>
      </w:pPr>
      <w:r>
        <w:t xml:space="preserve">Staff capacity</w:t>
      </w:r>
    </w:p>
    <w:p>
      <w:pPr>
        <w:pStyle w:val="Compact"/>
        <w:numPr>
          <w:ilvl w:val="0"/>
          <w:numId w:val="1086"/>
        </w:numPr>
      </w:pPr>
      <w:r>
        <w:t xml:space="preserve">Infrastructure availability</w:t>
      </w:r>
    </w:p>
    <w:p>
      <w:pPr>
        <w:pStyle w:val="Compact"/>
        <w:numPr>
          <w:ilvl w:val="0"/>
          <w:numId w:val="1086"/>
        </w:numPr>
      </w:pPr>
      <w:r>
        <w:t xml:space="preserve">Workflow adaptability</w:t>
      </w:r>
    </w:p>
    <w:p>
      <w:pPr>
        <w:pStyle w:val="Compact"/>
        <w:numPr>
          <w:ilvl w:val="0"/>
          <w:numId w:val="1086"/>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93"/>
    <w:bookmarkStart w:id="294"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94"/>
    <w:bookmarkEnd w:id="295"/>
    <w:bookmarkStart w:id="299" w:name="deployment-strategies"/>
    <w:p>
      <w:pPr>
        <w:pStyle w:val="Heading3"/>
      </w:pPr>
      <w:r>
        <w:t xml:space="preserve">Deployment Strategies</w:t>
      </w:r>
    </w:p>
    <w:bookmarkStart w:id="298"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Users\andre\AppData\Local\Programs\Quarto\share\formats\docx\note.png" id="2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98"/>
    <w:bookmarkEnd w:id="299"/>
    <w:bookmarkStart w:id="306" w:name="monitoring-during-implementation"/>
    <w:p>
      <w:pPr>
        <w:pStyle w:val="Heading3"/>
      </w:pPr>
      <w:r>
        <w:t xml:space="preserve">Monitoring During Implementation</w:t>
      </w:r>
    </w:p>
    <w:bookmarkStart w:id="300"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300"/>
    <w:bookmarkStart w:id="305"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04" w:name="fig-escalation"/>
          <w:p>
            <w:pPr>
              <w:jc w:val="center"/>
            </w:pPr>
            <w:r>
              <w:drawing>
                <wp:inline>
                  <wp:extent cx="6400800" cy="3450927"/>
                  <wp:effectExtent b="0" l="0" r="0" t="0"/>
                  <wp:docPr descr="" title="" id="302" name="Picture"/>
                  <a:graphic>
                    <a:graphicData uri="http://schemas.openxmlformats.org/drawingml/2006/picture">
                      <pic:pic>
                        <pic:nvPicPr>
                          <pic:cNvPr descr="chapters/08-implementation_files\figure-docx\mermaid-figure-2.png" id="303" name="Picture"/>
                          <pic:cNvPicPr>
                            <a:picLocks noChangeArrowheads="1" noChangeAspect="1"/>
                          </pic:cNvPicPr>
                        </pic:nvPicPr>
                        <pic:blipFill>
                          <a:blip r:embed="rId301"/>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04"/>
        </w:tc>
      </w:tr>
    </w:tbl>
    <w:bookmarkEnd w:id="305"/>
    <w:bookmarkEnd w:id="306"/>
    <w:bookmarkStart w:id="308" w:name="communication-during-implementation"/>
    <w:p>
      <w:pPr>
        <w:pStyle w:val="Heading3"/>
      </w:pPr>
      <w:r>
        <w:t xml:space="preserve">Communication During Implementation</w:t>
      </w:r>
    </w:p>
    <w:bookmarkStart w:id="307"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07"/>
    <w:bookmarkEnd w:id="308"/>
    <w:bookmarkStart w:id="309"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09"/>
    <w:bookmarkStart w:id="310"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10"/>
    <w:bookmarkEnd w:id="311"/>
    <w:bookmarkEnd w:id="312"/>
    <w:bookmarkStart w:id="355" w:name="evaluation-improvement"/>
    <w:p>
      <w:pPr>
        <w:pStyle w:val="Heading1"/>
      </w:pPr>
      <w:r>
        <w:t xml:space="preserve">Evaluation &amp; Improvement</w:t>
      </w:r>
    </w:p>
    <w:bookmarkStart w:id="354"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13"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13"/>
    <w:bookmarkStart w:id="318"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17" w:name="fig-cdc-eval"/>
          <w:p>
            <w:pPr>
              <w:jc w:val="center"/>
            </w:pPr>
            <w:r>
              <w:drawing>
                <wp:inline>
                  <wp:extent cx="6400800" cy="709461"/>
                  <wp:effectExtent b="0" l="0" r="0" t="0"/>
                  <wp:docPr descr="" title="" id="315" name="Picture"/>
                  <a:graphic>
                    <a:graphicData uri="http://schemas.openxmlformats.org/drawingml/2006/picture">
                      <pic:pic>
                        <pic:nvPicPr>
                          <pic:cNvPr descr="chapters/09-evaluation_files\figure-docx\mermaid-figure-1.png" id="316" name="Picture"/>
                          <pic:cNvPicPr>
                            <a:picLocks noChangeArrowheads="1" noChangeAspect="1"/>
                          </pic:cNvPicPr>
                        </pic:nvPicPr>
                        <pic:blipFill>
                          <a:blip r:embed="rId314"/>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1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18"/>
    <w:bookmarkStart w:id="323" w:name="types-of-evaluation"/>
    <w:p>
      <w:pPr>
        <w:pStyle w:val="Heading3"/>
      </w:pPr>
      <w:r>
        <w:t xml:space="preserve">Types of Evaluation</w:t>
      </w:r>
    </w:p>
    <w:bookmarkStart w:id="319"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19"/>
    <w:bookmarkStart w:id="322"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C:\Users\andre\AppData\Local\Programs\Quarto\share\formats\docx\note.png" id="3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87"/>
              </w:numPr>
            </w:pPr>
            <w:r>
              <w:t xml:space="preserve">Were all registrars trained? (Target: 100%)</w:t>
            </w:r>
          </w:p>
          <w:p>
            <w:pPr>
              <w:pStyle w:val="Compact"/>
              <w:numPr>
                <w:ilvl w:val="0"/>
                <w:numId w:val="1087"/>
              </w:numPr>
            </w:pPr>
            <w:r>
              <w:t xml:space="preserve">Are hospitals submitting data electronically? (Target: 90%)</w:t>
            </w:r>
          </w:p>
          <w:p>
            <w:pPr>
              <w:pStyle w:val="Compact"/>
              <w:numPr>
                <w:ilvl w:val="0"/>
                <w:numId w:val="1087"/>
              </w:numPr>
            </w:pPr>
            <w:r>
              <w:t xml:space="preserve">Is the system meeting uptime requirements? (Target: 99.9%)</w:t>
            </w:r>
          </w:p>
          <w:p>
            <w:pPr>
              <w:pStyle w:val="FirstParagraph"/>
            </w:pPr>
            <w:r>
              <w:rPr>
                <w:b/>
                <w:bCs/>
              </w:rPr>
              <w:t xml:space="preserve">Outcome Evaluation:</w:t>
            </w:r>
          </w:p>
          <w:p>
            <w:pPr>
              <w:pStyle w:val="Compact"/>
              <w:numPr>
                <w:ilvl w:val="0"/>
                <w:numId w:val="1088"/>
              </w:numPr>
            </w:pPr>
            <w:r>
              <w:t xml:space="preserve">Has data completeness improved? (Target: 89% → 95%)</w:t>
            </w:r>
          </w:p>
          <w:p>
            <w:pPr>
              <w:pStyle w:val="Compact"/>
              <w:numPr>
                <w:ilvl w:val="0"/>
                <w:numId w:val="1088"/>
              </w:numPr>
            </w:pPr>
            <w:r>
              <w:t xml:space="preserve">Has case abstraction time decreased? (Target: 15 min → 8 min)</w:t>
            </w:r>
          </w:p>
          <w:p>
            <w:pPr>
              <w:pStyle w:val="Compact"/>
              <w:numPr>
                <w:ilvl w:val="0"/>
                <w:numId w:val="1088"/>
              </w:numPr>
            </w:pPr>
            <w:r>
              <w:t xml:space="preserve">Are NPCR submissions timely? (Target: 100% on-time)</w:t>
            </w:r>
          </w:p>
          <w:p>
            <w:pPr>
              <w:pStyle w:val="FirstParagraph"/>
            </w:pPr>
            <w:r>
              <w:rPr>
                <w:b/>
                <w:bCs/>
              </w:rPr>
              <w:t xml:space="preserve">Impact Evaluation:</w:t>
            </w:r>
          </w:p>
          <w:p>
            <w:pPr>
              <w:pStyle w:val="Compact"/>
              <w:numPr>
                <w:ilvl w:val="0"/>
                <w:numId w:val="1089"/>
              </w:numPr>
            </w:pPr>
            <w:r>
              <w:t xml:space="preserve">Are survival statistics more accurate?</w:t>
            </w:r>
          </w:p>
          <w:p>
            <w:pPr>
              <w:pStyle w:val="Compact"/>
              <w:numPr>
                <w:ilvl w:val="0"/>
                <w:numId w:val="1089"/>
              </w:numPr>
            </w:pPr>
            <w:r>
              <w:t xml:space="preserve">Can disparities be identified at the county level?</w:t>
            </w:r>
          </w:p>
          <w:p>
            <w:pPr>
              <w:pStyle w:val="Compact"/>
              <w:numPr>
                <w:ilvl w:val="0"/>
                <w:numId w:val="1089"/>
              </w:numPr>
            </w:pPr>
            <w:r>
              <w:t xml:space="preserve">Has the data informed state cancer plan priorities?</w:t>
            </w:r>
          </w:p>
          <w:p/>
        </w:tc>
      </w:tr>
    </w:tbl>
    <w:bookmarkEnd w:id="322"/>
    <w:bookmarkEnd w:id="323"/>
    <w:bookmarkStart w:id="326" w:name="defining-metrics"/>
    <w:p>
      <w:pPr>
        <w:pStyle w:val="Heading3"/>
      </w:pPr>
      <w:r>
        <w:t xml:space="preserve">Defining Metrics</w:t>
      </w:r>
    </w:p>
    <w:bookmarkStart w:id="324"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24"/>
    <w:bookmarkStart w:id="325"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25"/>
    <w:bookmarkEnd w:id="326"/>
    <w:bookmarkStart w:id="329" w:name="data-collection-for-evaluation"/>
    <w:p>
      <w:pPr>
        <w:pStyle w:val="Heading3"/>
      </w:pPr>
      <w:r>
        <w:t xml:space="preserve">Data Collection for Evaluation</w:t>
      </w:r>
    </w:p>
    <w:bookmarkStart w:id="327"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27"/>
    <w:bookmarkStart w:id="328"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28"/>
    <w:bookmarkEnd w:id="329"/>
    <w:bookmarkStart w:id="336" w:name="analysis-and-interpretation"/>
    <w:p>
      <w:pPr>
        <w:pStyle w:val="Heading3"/>
      </w:pPr>
      <w:r>
        <w:t xml:space="preserve">Analysis and Interpretation</w:t>
      </w:r>
    </w:p>
    <w:bookmarkStart w:id="334"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33" w:name="fig-trend"/>
          <w:p>
            <w:pPr>
              <w:jc w:val="center"/>
            </w:pPr>
            <w:r>
              <w:drawing>
                <wp:inline>
                  <wp:extent cx="6400800" cy="4574508"/>
                  <wp:effectExtent b="0" l="0" r="0" t="0"/>
                  <wp:docPr descr="" title="" id="331" name="Picture"/>
                  <a:graphic>
                    <a:graphicData uri="http://schemas.openxmlformats.org/drawingml/2006/picture">
                      <pic:pic>
                        <pic:nvPicPr>
                          <pic:cNvPr descr="chapters/09-evaluation_files\figure-docx\mermaid-figure-3.png" id="332" name="Picture"/>
                          <pic:cNvPicPr>
                            <a:picLocks noChangeArrowheads="1" noChangeAspect="1"/>
                          </pic:cNvPicPr>
                        </pic:nvPicPr>
                        <pic:blipFill>
                          <a:blip r:embed="rId330"/>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33"/>
        </w:tc>
      </w:tr>
    </w:tbl>
    <w:bookmarkEnd w:id="334"/>
    <w:bookmarkStart w:id="335"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35"/>
    <w:bookmarkEnd w:id="336"/>
    <w:bookmarkStart w:id="339" w:name="communicating-results"/>
    <w:p>
      <w:pPr>
        <w:pStyle w:val="Heading3"/>
      </w:pPr>
      <w:r>
        <w:t xml:space="preserve">Communicating Results</w:t>
      </w:r>
    </w:p>
    <w:bookmarkStart w:id="337"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37"/>
    <w:bookmarkStart w:id="338" w:name="visualization-best-practices"/>
    <w:p>
      <w:pPr>
        <w:pStyle w:val="Heading4"/>
      </w:pPr>
      <w:r>
        <w:t xml:space="preserve">Visualization Best Practices</w:t>
      </w:r>
    </w:p>
    <w:p>
      <w:pPr>
        <w:pStyle w:val="Compact"/>
        <w:numPr>
          <w:ilvl w:val="0"/>
          <w:numId w:val="1090"/>
        </w:numPr>
      </w:pPr>
      <w:r>
        <w:t xml:space="preserve">Use clear, simple charts</w:t>
      </w:r>
    </w:p>
    <w:p>
      <w:pPr>
        <w:pStyle w:val="Compact"/>
        <w:numPr>
          <w:ilvl w:val="0"/>
          <w:numId w:val="1090"/>
        </w:numPr>
      </w:pPr>
      <w:r>
        <w:t xml:space="preserve">Show trends, not just snapshots</w:t>
      </w:r>
    </w:p>
    <w:p>
      <w:pPr>
        <w:pStyle w:val="Compact"/>
        <w:numPr>
          <w:ilvl w:val="0"/>
          <w:numId w:val="1090"/>
        </w:numPr>
      </w:pPr>
      <w:r>
        <w:t xml:space="preserve">Compare to targets/benchmarks</w:t>
      </w:r>
    </w:p>
    <w:p>
      <w:pPr>
        <w:pStyle w:val="Compact"/>
        <w:numPr>
          <w:ilvl w:val="0"/>
          <w:numId w:val="1090"/>
        </w:numPr>
      </w:pPr>
      <w:r>
        <w:t xml:space="preserve">Highlight key takeaways</w:t>
      </w:r>
    </w:p>
    <w:p>
      <w:pPr>
        <w:pStyle w:val="Compact"/>
        <w:numPr>
          <w:ilvl w:val="0"/>
          <w:numId w:val="1090"/>
        </w:numPr>
      </w:pPr>
      <w:r>
        <w:t xml:space="preserve">Make data accessible</w:t>
      </w:r>
    </w:p>
    <w:bookmarkEnd w:id="338"/>
    <w:bookmarkEnd w:id="339"/>
    <w:bookmarkStart w:id="348" w:name="continuous-improvement"/>
    <w:p>
      <w:pPr>
        <w:pStyle w:val="Heading3"/>
      </w:pPr>
      <w:r>
        <w:t xml:space="preserve">Continuous Improvement</w:t>
      </w:r>
    </w:p>
    <w:bookmarkStart w:id="344"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43" w:name="fig-qi-cycle"/>
          <w:p>
            <w:pPr>
              <w:jc w:val="center"/>
            </w:pPr>
            <w:r>
              <w:drawing>
                <wp:inline>
                  <wp:extent cx="6400800" cy="829056"/>
                  <wp:effectExtent b="0" l="0" r="0" t="0"/>
                  <wp:docPr descr="" title="" id="341" name="Picture"/>
                  <a:graphic>
                    <a:graphicData uri="http://schemas.openxmlformats.org/drawingml/2006/picture">
                      <pic:pic>
                        <pic:nvPicPr>
                          <pic:cNvPr descr="chapters/09-evaluation_files\figure-docx\mermaid-figure-2.png" id="342" name="Picture"/>
                          <pic:cNvPicPr>
                            <a:picLocks noChangeArrowheads="1" noChangeAspect="1"/>
                          </pic:cNvPicPr>
                        </pic:nvPicPr>
                        <pic:blipFill>
                          <a:blip r:embed="rId340"/>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43"/>
        </w:tc>
      </w:tr>
    </w:tbl>
    <w:bookmarkEnd w:id="344"/>
    <w:bookmarkStart w:id="347"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C:\Users\andre\AppData\Local\Programs\Quarto\share\formats\docx\note.png" id="3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91"/>
              </w:numPr>
            </w:pPr>
            <w:r>
              <w:t xml:space="preserve">Data quality improvements exceeded expectations</w:t>
            </w:r>
          </w:p>
          <w:p>
            <w:pPr>
              <w:pStyle w:val="Compact"/>
              <w:numPr>
                <w:ilvl w:val="0"/>
                <w:numId w:val="1091"/>
              </w:numPr>
            </w:pPr>
            <w:r>
              <w:t xml:space="preserve">Abstraction time reduced but not to target; workflow analysis needed</w:t>
            </w:r>
          </w:p>
          <w:p>
            <w:pPr>
              <w:pStyle w:val="Compact"/>
              <w:numPr>
                <w:ilvl w:val="0"/>
                <w:numId w:val="1091"/>
              </w:numPr>
            </w:pPr>
            <w:r>
              <w:t xml:space="preserve">Two outages impacted uptime; infrastructure improvements planned</w:t>
            </w:r>
          </w:p>
          <w:p>
            <w:pPr>
              <w:pStyle w:val="FirstParagraph"/>
            </w:pPr>
            <w:r>
              <w:rPr>
                <w:b/>
                <w:bCs/>
              </w:rPr>
              <w:t xml:space="preserve">Recommendations:</w:t>
            </w:r>
          </w:p>
          <w:p>
            <w:pPr>
              <w:pStyle w:val="Compact"/>
              <w:numPr>
                <w:ilvl w:val="0"/>
                <w:numId w:val="1092"/>
              </w:numPr>
            </w:pPr>
            <w:r>
              <w:t xml:space="preserve">Continue current data quality processes</w:t>
            </w:r>
          </w:p>
          <w:p>
            <w:pPr>
              <w:pStyle w:val="Compact"/>
              <w:numPr>
                <w:ilvl w:val="0"/>
                <w:numId w:val="1092"/>
              </w:numPr>
            </w:pPr>
            <w:r>
              <w:t xml:space="preserve">Conduct workflow study to identify remaining abstraction bottlenecks</w:t>
            </w:r>
          </w:p>
          <w:p>
            <w:pPr>
              <w:pStyle w:val="Compact"/>
              <w:numPr>
                <w:ilvl w:val="0"/>
                <w:numId w:val="1092"/>
              </w:numPr>
            </w:pPr>
            <w:r>
              <w:t xml:space="preserve">Implement redundant infrastructure for high availability</w:t>
            </w:r>
          </w:p>
          <w:p/>
        </w:tc>
      </w:tr>
    </w:tbl>
    <w:bookmarkEnd w:id="347"/>
    <w:bookmarkEnd w:id="348"/>
    <w:bookmarkStart w:id="351" w:name="sustaining-value"/>
    <w:p>
      <w:pPr>
        <w:pStyle w:val="Heading3"/>
      </w:pPr>
      <w:r>
        <w:t xml:space="preserve">Sustaining Value</w:t>
      </w:r>
    </w:p>
    <w:bookmarkStart w:id="349"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49"/>
    <w:bookmarkStart w:id="350"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93"/>
        </w:numPr>
      </w:pPr>
      <w:r>
        <w:t xml:space="preserve">Regular metric reviews (monthly/quarterly)</w:t>
      </w:r>
    </w:p>
    <w:p>
      <w:pPr>
        <w:pStyle w:val="Compact"/>
        <w:numPr>
          <w:ilvl w:val="0"/>
          <w:numId w:val="1093"/>
        </w:numPr>
      </w:pPr>
      <w:r>
        <w:t xml:space="preserve">User feedback channels</w:t>
      </w:r>
    </w:p>
    <w:p>
      <w:pPr>
        <w:pStyle w:val="Compact"/>
        <w:numPr>
          <w:ilvl w:val="0"/>
          <w:numId w:val="1093"/>
        </w:numPr>
      </w:pPr>
      <w:r>
        <w:t xml:space="preserve">Enhancement prioritization process</w:t>
      </w:r>
    </w:p>
    <w:p>
      <w:pPr>
        <w:pStyle w:val="Compact"/>
        <w:numPr>
          <w:ilvl w:val="0"/>
          <w:numId w:val="1093"/>
        </w:numPr>
      </w:pPr>
      <w:r>
        <w:t xml:space="preserve">Performance monitoring</w:t>
      </w:r>
    </w:p>
    <w:p>
      <w:pPr>
        <w:pStyle w:val="Compact"/>
        <w:numPr>
          <w:ilvl w:val="0"/>
          <w:numId w:val="1093"/>
        </w:numPr>
      </w:pPr>
      <w:r>
        <w:t xml:space="preserve">Periodic comprehensive evaluations</w:t>
      </w:r>
    </w:p>
    <w:bookmarkEnd w:id="350"/>
    <w:bookmarkEnd w:id="351"/>
    <w:bookmarkStart w:id="352"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52"/>
    <w:bookmarkStart w:id="353"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53"/>
    <w:bookmarkEnd w:id="354"/>
    <w:bookmarkEnd w:id="355"/>
    <w:bookmarkStart w:id="381" w:name="tools-comparison"/>
    <w:p>
      <w:pPr>
        <w:pStyle w:val="Heading1"/>
      </w:pPr>
      <w:r>
        <w:t xml:space="preserve">Tools Comparison</w:t>
      </w:r>
    </w:p>
    <w:bookmarkStart w:id="380"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56"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56"/>
    <w:bookmarkStart w:id="371" w:name="tool-categories"/>
    <w:p>
      <w:pPr>
        <w:pStyle w:val="Heading3"/>
      </w:pPr>
      <w:r>
        <w:t xml:space="preserve">Tool Categories</w:t>
      </w:r>
    </w:p>
    <w:bookmarkStart w:id="359"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94"/>
        </w:numPr>
      </w:pPr>
      <w:r>
        <w:rPr>
          <w:b/>
          <w:bCs/>
        </w:rPr>
        <w:t xml:space="preserve">Small teams (&lt;10):</w:t>
      </w:r>
      <w:r>
        <w:t xml:space="preserve"> </w:t>
      </w:r>
      <w:r>
        <w:t xml:space="preserve">Trello free tier or Taiga for simple Kanban/Scrum</w:t>
      </w:r>
    </w:p>
    <w:p>
      <w:pPr>
        <w:pStyle w:val="Compact"/>
        <w:numPr>
          <w:ilvl w:val="0"/>
          <w:numId w:val="1094"/>
        </w:numPr>
      </w:pPr>
      <w:r>
        <w:rPr>
          <w:b/>
          <w:bCs/>
        </w:rPr>
        <w:t xml:space="preserve">Larger programs:</w:t>
      </w:r>
      <w:r>
        <w:t xml:space="preserve"> </w:t>
      </w:r>
      <w:r>
        <w:t xml:space="preserve">OpenProject for full PM capabilities with data sovereignty</w:t>
      </w:r>
    </w:p>
    <w:p>
      <w:pPr>
        <w:pStyle w:val="Compact"/>
        <w:numPr>
          <w:ilvl w:val="0"/>
          <w:numId w:val="1094"/>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andre\AppData\Local\Programs\Quarto\share\formats\docx\tip.png" id="3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95"/>
              </w:numPr>
            </w:pPr>
            <w:r>
              <w:t xml:space="preserve">Budget is constrained</w:t>
            </w:r>
          </w:p>
          <w:p>
            <w:pPr>
              <w:pStyle w:val="Compact"/>
              <w:numPr>
                <w:ilvl w:val="0"/>
                <w:numId w:val="1095"/>
              </w:numPr>
            </w:pPr>
            <w:r>
              <w:t xml:space="preserve">Data sovereignty is critical (cannot store project data externally)</w:t>
            </w:r>
          </w:p>
          <w:p>
            <w:pPr>
              <w:pStyle w:val="Compact"/>
              <w:numPr>
                <w:ilvl w:val="0"/>
                <w:numId w:val="1095"/>
              </w:numPr>
            </w:pPr>
            <w:r>
              <w:t xml:space="preserve">Technical staff can support installation and maintenance</w:t>
            </w:r>
          </w:p>
          <w:p>
            <w:pPr>
              <w:pStyle w:val="Compact"/>
              <w:numPr>
                <w:ilvl w:val="0"/>
                <w:numId w:val="1095"/>
              </w:numPr>
            </w:pPr>
            <w:r>
              <w:t xml:space="preserve">Customization is needed beyond commercial options</w:t>
            </w:r>
          </w:p>
          <w:p/>
        </w:tc>
      </w:tr>
    </w:tbl>
    <w:bookmarkEnd w:id="359"/>
    <w:bookmarkStart w:id="360"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96"/>
        </w:numPr>
      </w:pPr>
      <w:r>
        <w:rPr>
          <w:b/>
          <w:bCs/>
        </w:rPr>
        <w:t xml:space="preserve">Documentation:</w:t>
      </w:r>
      <w:r>
        <w:t xml:space="preserve"> </w:t>
      </w:r>
      <w:r>
        <w:t xml:space="preserve">BookStack provides Confluence-like experience without licensing</w:t>
      </w:r>
    </w:p>
    <w:p>
      <w:pPr>
        <w:pStyle w:val="Compact"/>
        <w:numPr>
          <w:ilvl w:val="0"/>
          <w:numId w:val="1096"/>
        </w:numPr>
      </w:pPr>
      <w:r>
        <w:rPr>
          <w:b/>
          <w:bCs/>
        </w:rPr>
        <w:t xml:space="preserve">Requirements:</w:t>
      </w:r>
      <w:r>
        <w:t xml:space="preserve"> </w:t>
      </w:r>
      <w:r>
        <w:t xml:space="preserve">GitHub Issues sufficient for most projects; integrates with development</w:t>
      </w:r>
    </w:p>
    <w:p>
      <w:pPr>
        <w:pStyle w:val="Compact"/>
        <w:numPr>
          <w:ilvl w:val="0"/>
          <w:numId w:val="1096"/>
        </w:numPr>
      </w:pPr>
      <w:r>
        <w:rPr>
          <w:b/>
          <w:bCs/>
        </w:rPr>
        <w:t xml:space="preserve">Collaboration:</w:t>
      </w:r>
      <w:r>
        <w:t xml:space="preserve"> </w:t>
      </w:r>
      <w:r>
        <w:t xml:space="preserve">Consider data sensitivity; Nextcloud for on-premise control</w:t>
      </w:r>
    </w:p>
    <w:bookmarkEnd w:id="360"/>
    <w:bookmarkStart w:id="361"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97"/>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97"/>
        </w:numPr>
      </w:pPr>
      <w:r>
        <w:rPr>
          <w:b/>
          <w:bCs/>
        </w:rPr>
        <w:t xml:space="preserve">Mermaid</w:t>
      </w:r>
      <w:r>
        <w:t xml:space="preserve"> </w:t>
      </w:r>
      <w:r>
        <w:t xml:space="preserve">for diagrams in documentation (renders from text, version-controllable)</w:t>
      </w:r>
    </w:p>
    <w:bookmarkEnd w:id="361"/>
    <w:bookmarkStart w:id="364"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98"/>
        </w:numPr>
      </w:pPr>
      <w:r>
        <w:t xml:space="preserve">Free for non-profit research institutions</w:t>
      </w:r>
    </w:p>
    <w:p>
      <w:pPr>
        <w:pStyle w:val="Compact"/>
        <w:numPr>
          <w:ilvl w:val="0"/>
          <w:numId w:val="1098"/>
        </w:numPr>
      </w:pPr>
      <w:r>
        <w:t xml:space="preserve">HIPAA-compliant, 21 CFR Part 11 capable</w:t>
      </w:r>
    </w:p>
    <w:p>
      <w:pPr>
        <w:pStyle w:val="Compact"/>
        <w:numPr>
          <w:ilvl w:val="0"/>
          <w:numId w:val="1098"/>
        </w:numPr>
      </w:pPr>
      <w:r>
        <w:t xml:space="preserve">Supports complex branching logic, validation</w:t>
      </w:r>
    </w:p>
    <w:p>
      <w:pPr>
        <w:pStyle w:val="Compact"/>
        <w:numPr>
          <w:ilvl w:val="0"/>
          <w:numId w:val="1098"/>
        </w:numPr>
      </w:pPr>
      <w:r>
        <w:t xml:space="preserve">Built-in audit trails</w:t>
      </w:r>
    </w:p>
    <w:p>
      <w:pPr>
        <w:pStyle w:val="Compact"/>
        <w:numPr>
          <w:ilvl w:val="0"/>
          <w:numId w:val="1098"/>
        </w:numPr>
      </w:pPr>
      <w:r>
        <w:t xml:space="preserve">Consortium of 6,000+ institutions</w:t>
      </w:r>
    </w:p>
    <w:p>
      <w:pPr>
        <w:pStyle w:val="Compact"/>
        <w:numPr>
          <w:ilvl w:val="0"/>
          <w:numId w:val="1098"/>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C:\Users\andre\AppData\Local\Programs\Quarto\share\formats\docx\note.png" id="3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99"/>
              </w:numPr>
            </w:pPr>
            <w:r>
              <w:rPr>
                <w:b/>
                <w:bCs/>
              </w:rPr>
              <w:t xml:space="preserve">REDCap</w:t>
            </w:r>
            <w:r>
              <w:t xml:space="preserve">: Pilot site feedback surveys, user satisfaction assessments</w:t>
            </w:r>
          </w:p>
          <w:p>
            <w:pPr>
              <w:pStyle w:val="Compact"/>
              <w:numPr>
                <w:ilvl w:val="0"/>
                <w:numId w:val="1099"/>
              </w:numPr>
            </w:pPr>
            <w:r>
              <w:rPr>
                <w:b/>
                <w:bCs/>
              </w:rPr>
              <w:t xml:space="preserve">KoBoToolbox</w:t>
            </w:r>
            <w:r>
              <w:t xml:space="preserve">: Field data collection for mobile cancer screening events</w:t>
            </w:r>
          </w:p>
          <w:p>
            <w:pPr>
              <w:pStyle w:val="Compact"/>
              <w:numPr>
                <w:ilvl w:val="0"/>
                <w:numId w:val="1099"/>
              </w:numPr>
            </w:pPr>
            <w:r>
              <w:rPr>
                <w:b/>
                <w:bCs/>
              </w:rPr>
              <w:t xml:space="preserve">Native CancerSurv</w:t>
            </w:r>
            <w:r>
              <w:t xml:space="preserve">: Case abstraction (built into the platform)</w:t>
            </w:r>
          </w:p>
          <w:p/>
        </w:tc>
      </w:tr>
    </w:tbl>
    <w:bookmarkEnd w:id="364"/>
    <w:bookmarkStart w:id="365"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100"/>
        </w:numPr>
      </w:pPr>
      <w:r>
        <w:t xml:space="preserve">Free download, no installation fees</w:t>
      </w:r>
    </w:p>
    <w:p>
      <w:pPr>
        <w:pStyle w:val="Compact"/>
        <w:numPr>
          <w:ilvl w:val="0"/>
          <w:numId w:val="1100"/>
        </w:numPr>
      </w:pPr>
      <w:r>
        <w:t xml:space="preserve">Built-in epidemiological statistics (odds ratios, relative risks)</w:t>
      </w:r>
    </w:p>
    <w:p>
      <w:pPr>
        <w:pStyle w:val="Compact"/>
        <w:numPr>
          <w:ilvl w:val="0"/>
          <w:numId w:val="1100"/>
        </w:numPr>
      </w:pPr>
      <w:r>
        <w:t xml:space="preserve">Epidemic curve generation</w:t>
      </w:r>
    </w:p>
    <w:p>
      <w:pPr>
        <w:pStyle w:val="Compact"/>
        <w:numPr>
          <w:ilvl w:val="0"/>
          <w:numId w:val="1100"/>
        </w:numPr>
      </w:pPr>
      <w:r>
        <w:t xml:space="preserve">Geographic mapping</w:t>
      </w:r>
    </w:p>
    <w:p>
      <w:pPr>
        <w:pStyle w:val="Compact"/>
        <w:numPr>
          <w:ilvl w:val="0"/>
          <w:numId w:val="1100"/>
        </w:numPr>
      </w:pPr>
      <w:r>
        <w:t xml:space="preserve">Survey development and analysis</w:t>
      </w:r>
    </w:p>
    <w:p>
      <w:pPr>
        <w:pStyle w:val="Compact"/>
        <w:numPr>
          <w:ilvl w:val="0"/>
          <w:numId w:val="1100"/>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65"/>
    <w:bookmarkStart w:id="366"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101"/>
        </w:numPr>
      </w:pPr>
      <w:r>
        <w:t xml:space="preserve">Free and open source</w:t>
      </w:r>
    </w:p>
    <w:p>
      <w:pPr>
        <w:pStyle w:val="Compact"/>
        <w:numPr>
          <w:ilvl w:val="0"/>
          <w:numId w:val="1101"/>
        </w:numPr>
      </w:pPr>
      <w:r>
        <w:t xml:space="preserve">Integrates with R analysis pipelines</w:t>
      </w:r>
    </w:p>
    <w:p>
      <w:pPr>
        <w:pStyle w:val="Compact"/>
        <w:numPr>
          <w:ilvl w:val="0"/>
          <w:numId w:val="1101"/>
        </w:numPr>
      </w:pPr>
      <w:r>
        <w:t xml:space="preserve">Can be deployed on-premise or Shinyapps.io</w:t>
      </w:r>
    </w:p>
    <w:p>
      <w:pPr>
        <w:pStyle w:val="Compact"/>
        <w:numPr>
          <w:ilvl w:val="0"/>
          <w:numId w:val="1101"/>
        </w:numPr>
      </w:pPr>
      <w:r>
        <w:t xml:space="preserve">Many public health templates available</w:t>
      </w:r>
    </w:p>
    <w:bookmarkEnd w:id="366"/>
    <w:bookmarkStart w:id="369"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102"/>
        </w:numPr>
      </w:pPr>
      <w:r>
        <w:t xml:space="preserve">Free, cross-platform</w:t>
      </w:r>
    </w:p>
    <w:p>
      <w:pPr>
        <w:pStyle w:val="Compact"/>
        <w:numPr>
          <w:ilvl w:val="0"/>
          <w:numId w:val="1102"/>
        </w:numPr>
      </w:pPr>
      <w:r>
        <w:t xml:space="preserve">Full-featured GIS capabilities</w:t>
      </w:r>
    </w:p>
    <w:p>
      <w:pPr>
        <w:pStyle w:val="Compact"/>
        <w:numPr>
          <w:ilvl w:val="0"/>
          <w:numId w:val="1102"/>
        </w:numPr>
      </w:pPr>
      <w:r>
        <w:t xml:space="preserve">Disease mapping and cluster detection</w:t>
      </w:r>
    </w:p>
    <w:p>
      <w:pPr>
        <w:pStyle w:val="Compact"/>
        <w:numPr>
          <w:ilvl w:val="0"/>
          <w:numId w:val="1102"/>
        </w:numPr>
      </w:pPr>
      <w:r>
        <w:t xml:space="preserve">Integrates with R for spatial statistics</w:t>
      </w:r>
    </w:p>
    <w:p>
      <w:pPr>
        <w:pStyle w:val="Compact"/>
        <w:numPr>
          <w:ilvl w:val="0"/>
          <w:numId w:val="1102"/>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andre\AppData\Local\Programs\Quarto\share\formats\docx\note.png" id="3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69"/>
    <w:bookmarkStart w:id="370"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103"/>
        </w:numPr>
      </w:pPr>
      <w:r>
        <w:t xml:space="preserve">Open source (NextGen Healthcare)</w:t>
      </w:r>
    </w:p>
    <w:p>
      <w:pPr>
        <w:pStyle w:val="Compact"/>
        <w:numPr>
          <w:ilvl w:val="0"/>
          <w:numId w:val="1103"/>
        </w:numPr>
      </w:pPr>
      <w:r>
        <w:t xml:space="preserve">HL7 v2, FHIR, CDA support</w:t>
      </w:r>
    </w:p>
    <w:p>
      <w:pPr>
        <w:pStyle w:val="Compact"/>
        <w:numPr>
          <w:ilvl w:val="0"/>
          <w:numId w:val="1103"/>
        </w:numPr>
      </w:pPr>
      <w:r>
        <w:t xml:space="preserve">Visual interface builder</w:t>
      </w:r>
    </w:p>
    <w:p>
      <w:pPr>
        <w:pStyle w:val="Compact"/>
        <w:numPr>
          <w:ilvl w:val="0"/>
          <w:numId w:val="1103"/>
        </w:numPr>
      </w:pPr>
      <w:r>
        <w:t xml:space="preserve">Used by many state health departments</w:t>
      </w:r>
    </w:p>
    <w:bookmarkEnd w:id="370"/>
    <w:bookmarkEnd w:id="371"/>
    <w:bookmarkStart w:id="374" w:name="building-your-stack"/>
    <w:p>
      <w:pPr>
        <w:pStyle w:val="Heading3"/>
      </w:pPr>
      <w:r>
        <w:t xml:space="preserve">Building Your Stack</w:t>
      </w:r>
    </w:p>
    <w:bookmarkStart w:id="372"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72"/>
    <w:bookmarkStart w:id="373"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73"/>
    <w:bookmarkEnd w:id="374"/>
    <w:bookmarkStart w:id="378" w:name="considerations-for-tool-selection"/>
    <w:p>
      <w:pPr>
        <w:pStyle w:val="Heading3"/>
      </w:pPr>
      <w:r>
        <w:t xml:space="preserve">Considerations for Tool Selection</w:t>
      </w:r>
    </w:p>
    <w:bookmarkStart w:id="375"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75"/>
    <w:bookmarkStart w:id="376"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76"/>
    <w:bookmarkStart w:id="377" w:name="sustainability"/>
    <w:p>
      <w:pPr>
        <w:pStyle w:val="Heading4"/>
      </w:pPr>
      <w:r>
        <w:t xml:space="preserve">Sustainability</w:t>
      </w:r>
    </w:p>
    <w:p>
      <w:pPr>
        <w:pStyle w:val="FirstParagraph"/>
      </w:pPr>
      <w:r>
        <w:t xml:space="preserve">Consider long-term viability:</w:t>
      </w:r>
    </w:p>
    <w:p>
      <w:pPr>
        <w:pStyle w:val="Compact"/>
        <w:numPr>
          <w:ilvl w:val="0"/>
          <w:numId w:val="1104"/>
        </w:numPr>
      </w:pPr>
      <w:r>
        <w:t xml:space="preserve">Commercial: Vendor may be acquired, change pricing, sunset product</w:t>
      </w:r>
    </w:p>
    <w:p>
      <w:pPr>
        <w:pStyle w:val="Compact"/>
        <w:numPr>
          <w:ilvl w:val="0"/>
          <w:numId w:val="1104"/>
        </w:numPr>
      </w:pPr>
      <w:r>
        <w:t xml:space="preserve">Open Source: Community may lose momentum; check activity levels</w:t>
      </w:r>
    </w:p>
    <w:p>
      <w:pPr>
        <w:pStyle w:val="Compact"/>
        <w:numPr>
          <w:ilvl w:val="0"/>
          <w:numId w:val="1104"/>
        </w:numPr>
      </w:pPr>
      <w:r>
        <w:t xml:space="preserve">Hybrid: Consider tools with both commercial and open source options</w:t>
      </w:r>
    </w:p>
    <w:bookmarkEnd w:id="377"/>
    <w:bookmarkEnd w:id="378"/>
    <w:bookmarkStart w:id="379"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79"/>
    <w:bookmarkEnd w:id="380"/>
    <w:bookmarkEnd w:id="381"/>
    <w:bookmarkStart w:id="407" w:name="implementation-science"/>
    <w:p>
      <w:pPr>
        <w:pStyle w:val="Heading1"/>
      </w:pPr>
      <w:r>
        <w:t xml:space="preserve">Implementation Science</w:t>
      </w:r>
    </w:p>
    <w:bookmarkStart w:id="406"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82"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105"/>
        </w:numPr>
      </w:pPr>
      <w:r>
        <w:t xml:space="preserve">70% of change initiatives fail to achieve their objectives</w:t>
      </w:r>
    </w:p>
    <w:p>
      <w:pPr>
        <w:pStyle w:val="Compact"/>
        <w:numPr>
          <w:ilvl w:val="0"/>
          <w:numId w:val="1105"/>
        </w:numPr>
      </w:pPr>
      <w:r>
        <w:t xml:space="preserve">Clinical guidelines take an average of 17 years to become standard practice</w:t>
      </w:r>
    </w:p>
    <w:p>
      <w:pPr>
        <w:pStyle w:val="Compact"/>
        <w:numPr>
          <w:ilvl w:val="0"/>
          <w:numId w:val="1105"/>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106"/>
        </w:numPr>
      </w:pPr>
      <w:r>
        <w:t xml:space="preserve">A structured way to assess organizational readiness</w:t>
      </w:r>
    </w:p>
    <w:p>
      <w:pPr>
        <w:pStyle w:val="Compact"/>
        <w:numPr>
          <w:ilvl w:val="0"/>
          <w:numId w:val="1106"/>
        </w:numPr>
      </w:pPr>
      <w:r>
        <w:t xml:space="preserve">Language for discussing non-technical barriers with stakeholders</w:t>
      </w:r>
    </w:p>
    <w:p>
      <w:pPr>
        <w:pStyle w:val="Compact"/>
        <w:numPr>
          <w:ilvl w:val="0"/>
          <w:numId w:val="1106"/>
        </w:numPr>
      </w:pPr>
      <w:r>
        <w:t xml:space="preserve">Frameworks for designing implementation strategies</w:t>
      </w:r>
    </w:p>
    <w:p>
      <w:pPr>
        <w:pStyle w:val="Compact"/>
        <w:numPr>
          <w:ilvl w:val="0"/>
          <w:numId w:val="1106"/>
        </w:numPr>
      </w:pPr>
      <w:r>
        <w:t xml:space="preserve">Metrics for measuring adoption, not just deployment</w:t>
      </w:r>
    </w:p>
    <w:bookmarkEnd w:id="382"/>
    <w:bookmarkStart w:id="394"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86" w:name="fig-cfir"/>
          <w:p>
            <w:pPr>
              <w:jc w:val="center"/>
            </w:pPr>
            <w:r>
              <w:drawing>
                <wp:inline>
                  <wp:extent cx="6400800" cy="1824195"/>
                  <wp:effectExtent b="0" l="0" r="0" t="0"/>
                  <wp:docPr descr="" title="" id="384" name="Picture"/>
                  <a:graphic>
                    <a:graphicData uri="http://schemas.openxmlformats.org/drawingml/2006/picture">
                      <pic:pic>
                        <pic:nvPicPr>
                          <pic:cNvPr descr="chapters/11-implementation-science_files\figure-docx\mermaid-figure-1.png" id="385" name="Picture"/>
                          <pic:cNvPicPr>
                            <a:picLocks noChangeArrowheads="1" noChangeAspect="1"/>
                          </pic:cNvPicPr>
                        </pic:nvPicPr>
                        <pic:blipFill>
                          <a:blip r:embed="rId383"/>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86"/>
        </w:tc>
      </w:tr>
    </w:tbl>
    <w:bookmarkStart w:id="389"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C:\Users\andre\AppData\Local\Programs\Quarto\share\formats\docx\note.png" id="3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89"/>
    <w:bookmarkStart w:id="390"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107"/>
        </w:numPr>
      </w:pPr>
      <w:r>
        <w:t xml:space="preserve">CDC reporting requirements</w:t>
      </w:r>
    </w:p>
    <w:p>
      <w:pPr>
        <w:pStyle w:val="Compact"/>
        <w:numPr>
          <w:ilvl w:val="0"/>
          <w:numId w:val="1107"/>
        </w:numPr>
      </w:pPr>
      <w:r>
        <w:t xml:space="preserve">HIPAA regulations</w:t>
      </w:r>
    </w:p>
    <w:p>
      <w:pPr>
        <w:pStyle w:val="Compact"/>
        <w:numPr>
          <w:ilvl w:val="0"/>
          <w:numId w:val="1107"/>
        </w:numPr>
      </w:pPr>
      <w:r>
        <w:t xml:space="preserve">State health information exchange policies</w:t>
      </w:r>
    </w:p>
    <w:p>
      <w:pPr>
        <w:pStyle w:val="Compact"/>
        <w:numPr>
          <w:ilvl w:val="0"/>
          <w:numId w:val="1107"/>
        </w:numPr>
      </w:pPr>
      <w:r>
        <w:t xml:space="preserve">Grant funder expectations</w:t>
      </w:r>
    </w:p>
    <w:p>
      <w:pPr>
        <w:pStyle w:val="Compact"/>
        <w:numPr>
          <w:ilvl w:val="0"/>
          <w:numId w:val="1107"/>
        </w:numPr>
      </w:pPr>
      <w:r>
        <w:t xml:space="preserve">NAACCR standards (for cancer registries)</w:t>
      </w:r>
    </w:p>
    <w:bookmarkEnd w:id="390"/>
    <w:bookmarkStart w:id="391"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108"/>
        </w:numPr>
      </w:pPr>
      <w:r>
        <w:t xml:space="preserve">Is there leadership commitment?</w:t>
      </w:r>
    </w:p>
    <w:p>
      <w:pPr>
        <w:pStyle w:val="Compact"/>
        <w:numPr>
          <w:ilvl w:val="0"/>
          <w:numId w:val="1108"/>
        </w:numPr>
      </w:pPr>
      <w:r>
        <w:t xml:space="preserve">Are resources allocated?</w:t>
      </w:r>
    </w:p>
    <w:p>
      <w:pPr>
        <w:pStyle w:val="Compact"/>
        <w:numPr>
          <w:ilvl w:val="0"/>
          <w:numId w:val="1108"/>
        </w:numPr>
      </w:pPr>
      <w:r>
        <w:t xml:space="preserve">Is there a sense of urgency?</w:t>
      </w:r>
    </w:p>
    <w:p>
      <w:pPr>
        <w:pStyle w:val="Compact"/>
        <w:numPr>
          <w:ilvl w:val="0"/>
          <w:numId w:val="1108"/>
        </w:numPr>
      </w:pPr>
      <w:r>
        <w:t xml:space="preserve">Are staff held accountable for adoption?</w:t>
      </w:r>
    </w:p>
    <w:p>
      <w:pPr>
        <w:pStyle w:val="Compact"/>
        <w:numPr>
          <w:ilvl w:val="0"/>
          <w:numId w:val="1108"/>
        </w:numPr>
      </w:pPr>
      <w:r>
        <w:t xml:space="preserve">Are early adopters rewarded?</w:t>
      </w:r>
    </w:p>
    <w:bookmarkEnd w:id="391"/>
    <w:bookmarkStart w:id="392"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92"/>
    <w:bookmarkStart w:id="393"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09"/>
        </w:numPr>
      </w:pPr>
      <w:r>
        <w:rPr>
          <w:b/>
          <w:bCs/>
        </w:rPr>
        <w:t xml:space="preserve">Champions</w:t>
      </w:r>
      <w:r>
        <w:t xml:space="preserve">: Individuals who advocate for the intervention</w:t>
      </w:r>
    </w:p>
    <w:p>
      <w:pPr>
        <w:pStyle w:val="Compact"/>
        <w:numPr>
          <w:ilvl w:val="0"/>
          <w:numId w:val="1109"/>
        </w:numPr>
      </w:pPr>
      <w:r>
        <w:rPr>
          <w:b/>
          <w:bCs/>
        </w:rPr>
        <w:t xml:space="preserve">Opinion Leaders</w:t>
      </w:r>
      <w:r>
        <w:t xml:space="preserve">: Respected individuals who influence peers</w:t>
      </w:r>
    </w:p>
    <w:p>
      <w:pPr>
        <w:pStyle w:val="Compact"/>
        <w:numPr>
          <w:ilvl w:val="0"/>
          <w:numId w:val="1109"/>
        </w:numPr>
      </w:pPr>
      <w:r>
        <w:rPr>
          <w:b/>
          <w:bCs/>
        </w:rPr>
        <w:t xml:space="preserve">Implementation Leaders</w:t>
      </w:r>
      <w:r>
        <w:t xml:space="preserve">: Those formally responsible</w:t>
      </w:r>
    </w:p>
    <w:p>
      <w:pPr>
        <w:pStyle w:val="Compact"/>
        <w:numPr>
          <w:ilvl w:val="0"/>
          <w:numId w:val="1109"/>
        </w:numPr>
      </w:pPr>
      <w:r>
        <w:rPr>
          <w:b/>
          <w:bCs/>
        </w:rPr>
        <w:t xml:space="preserve">External Change Agents</w:t>
      </w:r>
      <w:r>
        <w:t xml:space="preserve">: Consultants, vendors supporting implementation</w:t>
      </w:r>
    </w:p>
    <w:bookmarkEnd w:id="393"/>
    <w:bookmarkEnd w:id="394"/>
    <w:bookmarkStart w:id="395"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95"/>
    <w:bookmarkStart w:id="398"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andre\AppData\Local\Programs\Quarto\share\formats\docx\note.png" id="3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98"/>
    <w:bookmarkStart w:id="403" w:name="Xf5984b7e3347e09458a894d958c71526b5d7889"/>
    <w:p>
      <w:pPr>
        <w:pStyle w:val="Heading3"/>
      </w:pPr>
      <w:r>
        <w:t xml:space="preserve">Applying Implementation Science in Practice</w:t>
      </w:r>
    </w:p>
    <w:bookmarkStart w:id="399" w:name="during-planning"/>
    <w:p>
      <w:pPr>
        <w:pStyle w:val="Heading4"/>
      </w:pPr>
      <w:r>
        <w:t xml:space="preserve">During Planning</w:t>
      </w:r>
    </w:p>
    <w:p>
      <w:pPr>
        <w:pStyle w:val="Compact"/>
        <w:numPr>
          <w:ilvl w:val="0"/>
          <w:numId w:val="1110"/>
        </w:numPr>
      </w:pPr>
      <w:r>
        <w:t xml:space="preserve">Conduct CFIR-based readiness assessment</w:t>
      </w:r>
    </w:p>
    <w:p>
      <w:pPr>
        <w:pStyle w:val="Compact"/>
        <w:numPr>
          <w:ilvl w:val="0"/>
          <w:numId w:val="1110"/>
        </w:numPr>
      </w:pPr>
      <w:r>
        <w:t xml:space="preserve">Identify potential barriers across all domains</w:t>
      </w:r>
    </w:p>
    <w:p>
      <w:pPr>
        <w:pStyle w:val="Compact"/>
        <w:numPr>
          <w:ilvl w:val="0"/>
          <w:numId w:val="1110"/>
        </w:numPr>
      </w:pPr>
      <w:r>
        <w:t xml:space="preserve">Design implementation strategies to address barriers</w:t>
      </w:r>
    </w:p>
    <w:bookmarkEnd w:id="399"/>
    <w:bookmarkStart w:id="400" w:name="during-design"/>
    <w:p>
      <w:pPr>
        <w:pStyle w:val="Heading4"/>
      </w:pPr>
      <w:r>
        <w:t xml:space="preserve">During Design</w:t>
      </w:r>
    </w:p>
    <w:p>
      <w:pPr>
        <w:pStyle w:val="Compact"/>
        <w:numPr>
          <w:ilvl w:val="0"/>
          <w:numId w:val="1111"/>
        </w:numPr>
      </w:pPr>
      <w:r>
        <w:t xml:space="preserve">Ensure intervention characteristics support adoption</w:t>
      </w:r>
    </w:p>
    <w:p>
      <w:pPr>
        <w:pStyle w:val="Compact"/>
        <w:numPr>
          <w:ilvl w:val="0"/>
          <w:numId w:val="1111"/>
        </w:numPr>
      </w:pPr>
      <w:r>
        <w:t xml:space="preserve">Build in adaptability for local context</w:t>
      </w:r>
    </w:p>
    <w:p>
      <w:pPr>
        <w:pStyle w:val="Compact"/>
        <w:numPr>
          <w:ilvl w:val="0"/>
          <w:numId w:val="1111"/>
        </w:numPr>
      </w:pPr>
      <w:r>
        <w:t xml:space="preserve">Minimize complexity; maximize relative advantage</w:t>
      </w:r>
    </w:p>
    <w:bookmarkEnd w:id="400"/>
    <w:bookmarkStart w:id="401" w:name="during-implementation"/>
    <w:p>
      <w:pPr>
        <w:pStyle w:val="Heading4"/>
      </w:pPr>
      <w:r>
        <w:t xml:space="preserve">During Implementation</w:t>
      </w:r>
    </w:p>
    <w:p>
      <w:pPr>
        <w:pStyle w:val="Compact"/>
        <w:numPr>
          <w:ilvl w:val="0"/>
          <w:numId w:val="1112"/>
        </w:numPr>
      </w:pPr>
      <w:r>
        <w:t xml:space="preserve">Engage champions and opinion leaders</w:t>
      </w:r>
    </w:p>
    <w:p>
      <w:pPr>
        <w:pStyle w:val="Compact"/>
        <w:numPr>
          <w:ilvl w:val="0"/>
          <w:numId w:val="1112"/>
        </w:numPr>
      </w:pPr>
      <w:r>
        <w:t xml:space="preserve">Monitor adoption, not just deployment</w:t>
      </w:r>
    </w:p>
    <w:p>
      <w:pPr>
        <w:pStyle w:val="Compact"/>
        <w:numPr>
          <w:ilvl w:val="0"/>
          <w:numId w:val="1112"/>
        </w:numPr>
      </w:pPr>
      <w:r>
        <w:t xml:space="preserve">Use PDSA cycles to address emerging barriers</w:t>
      </w:r>
    </w:p>
    <w:bookmarkEnd w:id="401"/>
    <w:bookmarkStart w:id="402" w:name="during-evaluation"/>
    <w:p>
      <w:pPr>
        <w:pStyle w:val="Heading4"/>
      </w:pPr>
      <w:r>
        <w:t xml:space="preserve">During Evaluation</w:t>
      </w:r>
    </w:p>
    <w:p>
      <w:pPr>
        <w:pStyle w:val="Compact"/>
        <w:numPr>
          <w:ilvl w:val="0"/>
          <w:numId w:val="1113"/>
        </w:numPr>
      </w:pPr>
      <w:r>
        <w:t xml:space="preserve">Assess both implementation outcomes and intervention outcomes</w:t>
      </w:r>
    </w:p>
    <w:p>
      <w:pPr>
        <w:pStyle w:val="Compact"/>
        <w:numPr>
          <w:ilvl w:val="0"/>
          <w:numId w:val="1113"/>
        </w:numPr>
      </w:pPr>
      <w:r>
        <w:t xml:space="preserve">Use RE-AIM dimensions for comprehensive evaluation</w:t>
      </w:r>
    </w:p>
    <w:p>
      <w:pPr>
        <w:pStyle w:val="Compact"/>
        <w:numPr>
          <w:ilvl w:val="0"/>
          <w:numId w:val="1113"/>
        </w:numPr>
      </w:pPr>
      <w:r>
        <w:t xml:space="preserve">Document lessons for future implementations</w:t>
      </w:r>
    </w:p>
    <w:bookmarkEnd w:id="402"/>
    <w:bookmarkEnd w:id="403"/>
    <w:bookmarkStart w:id="404"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04"/>
    <w:bookmarkStart w:id="405"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14"/>
        </w:numPr>
      </w:pPr>
      <w:r>
        <w:t xml:space="preserve">Requirements must address adoption, not just functionality</w:t>
      </w:r>
    </w:p>
    <w:p>
      <w:pPr>
        <w:pStyle w:val="Compact"/>
        <w:numPr>
          <w:ilvl w:val="0"/>
          <w:numId w:val="1114"/>
        </w:numPr>
      </w:pPr>
      <w:r>
        <w:t xml:space="preserve">CFIR provides a comprehensive lens for assessing implementation context</w:t>
      </w:r>
    </w:p>
    <w:p>
      <w:pPr>
        <w:pStyle w:val="Compact"/>
        <w:numPr>
          <w:ilvl w:val="0"/>
          <w:numId w:val="1114"/>
        </w:numPr>
      </w:pPr>
      <w:r>
        <w:t xml:space="preserve">NFRs should map to implementation characteristics</w:t>
      </w:r>
    </w:p>
    <w:p>
      <w:pPr>
        <w:pStyle w:val="Compact"/>
        <w:numPr>
          <w:ilvl w:val="0"/>
          <w:numId w:val="1114"/>
        </w:numPr>
      </w:pPr>
      <w:r>
        <w:t xml:space="preserve">RE-AIM offers a framework for evaluating public health impact</w:t>
      </w:r>
    </w:p>
    <w:p>
      <w:pPr>
        <w:pStyle w:val="Compact"/>
        <w:numPr>
          <w:ilvl w:val="0"/>
          <w:numId w:val="1114"/>
        </w:numPr>
      </w:pPr>
      <w:r>
        <w:t xml:space="preserve">Implementation strategies should target specific barriers</w:t>
      </w:r>
    </w:p>
    <w:bookmarkEnd w:id="405"/>
    <w:bookmarkEnd w:id="406"/>
    <w:bookmarkEnd w:id="407"/>
    <w:bookmarkStart w:id="432" w:name="templates-checklists"/>
    <w:p>
      <w:pPr>
        <w:pStyle w:val="Heading1"/>
      </w:pPr>
      <w:r>
        <w:t xml:space="preserve">Templates &amp; Checklists</w:t>
      </w:r>
    </w:p>
    <w:bookmarkStart w:id="431"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409"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408" w:name="analysis-questions"/>
    <w:p>
      <w:pPr>
        <w:pStyle w:val="Heading4"/>
      </w:pPr>
      <w:r>
        <w:t xml:space="preserve">Analysis Questions</w:t>
      </w:r>
    </w:p>
    <w:p>
      <w:pPr>
        <w:pStyle w:val="Compact"/>
        <w:numPr>
          <w:ilvl w:val="0"/>
          <w:numId w:val="1115"/>
        </w:numPr>
      </w:pPr>
      <w:r>
        <w:t xml:space="preserve">Who might be missing from this list?</w:t>
      </w:r>
    </w:p>
    <w:p>
      <w:pPr>
        <w:pStyle w:val="Compact"/>
        <w:numPr>
          <w:ilvl w:val="0"/>
          <w:numId w:val="1115"/>
        </w:numPr>
      </w:pPr>
      <w:r>
        <w:t xml:space="preserve">Are marginalized voices represented?</w:t>
      </w:r>
    </w:p>
    <w:p>
      <w:pPr>
        <w:pStyle w:val="Compact"/>
        <w:numPr>
          <w:ilvl w:val="0"/>
          <w:numId w:val="1115"/>
        </w:numPr>
      </w:pPr>
      <w:r>
        <w:t xml:space="preserve">Who has formal authority vs. informal influence?</w:t>
      </w:r>
    </w:p>
    <w:p>
      <w:pPr>
        <w:pStyle w:val="Compact"/>
        <w:numPr>
          <w:ilvl w:val="0"/>
          <w:numId w:val="1115"/>
        </w:numPr>
      </w:pPr>
      <w:r>
        <w:t xml:space="preserve">What are the potential conflicts of interest?</w:t>
      </w:r>
    </w:p>
    <w:bookmarkEnd w:id="408"/>
    <w:bookmarkEnd w:id="409"/>
    <w:bookmarkStart w:id="411"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410"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410"/>
    <w:bookmarkEnd w:id="411"/>
    <w:bookmarkStart w:id="415" w:name="requirements-specification-template"/>
    <w:p>
      <w:pPr>
        <w:pStyle w:val="Heading3"/>
      </w:pPr>
      <w:r>
        <w:t xml:space="preserve">Requirements Specification Template</w:t>
      </w:r>
    </w:p>
    <w:bookmarkStart w:id="412"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412"/>
    <w:bookmarkStart w:id="413"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13"/>
    <w:bookmarkStart w:id="414"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14"/>
    <w:bookmarkEnd w:id="415"/>
    <w:bookmarkStart w:id="421"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16" w:name="intervention-characteristics"/>
    <w:p>
      <w:pPr>
        <w:pStyle w:val="Heading4"/>
      </w:pPr>
      <w:r>
        <w:t xml:space="preserve">Intervention Characteristics</w:t>
      </w:r>
    </w:p>
    <w:p>
      <w:pPr>
        <w:pStyle w:val="Compact"/>
        <w:numPr>
          <w:ilvl w:val="0"/>
          <w:numId w:val="1116"/>
        </w:numPr>
      </w:pPr>
      <w:r>
        <w:t xml:space="preserve">Evidence of effectiveness documented and communicated</w:t>
      </w:r>
    </w:p>
    <w:p>
      <w:pPr>
        <w:pStyle w:val="Compact"/>
        <w:numPr>
          <w:ilvl w:val="0"/>
          <w:numId w:val="1117"/>
        </w:numPr>
      </w:pPr>
      <w:r>
        <w:t xml:space="preserve">Relative advantage over current practice clearly articulated</w:t>
      </w:r>
    </w:p>
    <w:p>
      <w:pPr>
        <w:pStyle w:val="Compact"/>
        <w:numPr>
          <w:ilvl w:val="0"/>
          <w:numId w:val="1118"/>
        </w:numPr>
      </w:pPr>
      <w:r>
        <w:t xml:space="preserve">Core vs. adaptable components identified</w:t>
      </w:r>
    </w:p>
    <w:p>
      <w:pPr>
        <w:pStyle w:val="Compact"/>
        <w:numPr>
          <w:ilvl w:val="0"/>
          <w:numId w:val="1119"/>
        </w:numPr>
      </w:pPr>
      <w:r>
        <w:t xml:space="preserve">Complexity minimized; training plan addresses remaining complexity</w:t>
      </w:r>
    </w:p>
    <w:p>
      <w:pPr>
        <w:pStyle w:val="Compact"/>
        <w:numPr>
          <w:ilvl w:val="0"/>
          <w:numId w:val="1120"/>
        </w:numPr>
      </w:pPr>
      <w:r>
        <w:t xml:space="preserve">Pilot/trialability planned</w:t>
      </w:r>
    </w:p>
    <w:bookmarkEnd w:id="416"/>
    <w:bookmarkStart w:id="417" w:name="outer-setting"/>
    <w:p>
      <w:pPr>
        <w:pStyle w:val="Heading4"/>
      </w:pPr>
      <w:r>
        <w:t xml:space="preserve">Outer Setting</w:t>
      </w:r>
    </w:p>
    <w:p>
      <w:pPr>
        <w:pStyle w:val="Compact"/>
        <w:numPr>
          <w:ilvl w:val="0"/>
          <w:numId w:val="1121"/>
        </w:numPr>
      </w:pPr>
      <w:r>
        <w:t xml:space="preserve">Regulatory requirements identified (HIPAA, CDC, state)</w:t>
      </w:r>
    </w:p>
    <w:p>
      <w:pPr>
        <w:pStyle w:val="Compact"/>
        <w:numPr>
          <w:ilvl w:val="0"/>
          <w:numId w:val="1122"/>
        </w:numPr>
      </w:pPr>
      <w:r>
        <w:t xml:space="preserve">External stakeholder needs understood</w:t>
      </w:r>
    </w:p>
    <w:p>
      <w:pPr>
        <w:pStyle w:val="Compact"/>
        <w:numPr>
          <w:ilvl w:val="0"/>
          <w:numId w:val="1123"/>
        </w:numPr>
      </w:pPr>
      <w:r>
        <w:t xml:space="preserve">Interoperability requirements documented</w:t>
      </w:r>
    </w:p>
    <w:p>
      <w:pPr>
        <w:pStyle w:val="Compact"/>
        <w:numPr>
          <w:ilvl w:val="0"/>
          <w:numId w:val="1124"/>
        </w:numPr>
      </w:pPr>
      <w:r>
        <w:t xml:space="preserve">Peer organization experiences reviewed</w:t>
      </w:r>
    </w:p>
    <w:bookmarkEnd w:id="417"/>
    <w:bookmarkStart w:id="418" w:name="inner-setting"/>
    <w:p>
      <w:pPr>
        <w:pStyle w:val="Heading4"/>
      </w:pPr>
      <w:r>
        <w:t xml:space="preserve">Inner Setting</w:t>
      </w:r>
    </w:p>
    <w:p>
      <w:pPr>
        <w:pStyle w:val="Compact"/>
        <w:numPr>
          <w:ilvl w:val="0"/>
          <w:numId w:val="1125"/>
        </w:numPr>
      </w:pPr>
      <w:r>
        <w:t xml:space="preserve">Leadership commitment secured</w:t>
      </w:r>
    </w:p>
    <w:p>
      <w:pPr>
        <w:pStyle w:val="Compact"/>
        <w:numPr>
          <w:ilvl w:val="0"/>
          <w:numId w:val="1126"/>
        </w:numPr>
      </w:pPr>
      <w:r>
        <w:t xml:space="preserve">Resources allocated (budget, staff, time)</w:t>
      </w:r>
    </w:p>
    <w:p>
      <w:pPr>
        <w:pStyle w:val="Compact"/>
        <w:numPr>
          <w:ilvl w:val="0"/>
          <w:numId w:val="1127"/>
        </w:numPr>
      </w:pPr>
      <w:r>
        <w:t xml:space="preserve">Implementation team identified</w:t>
      </w:r>
    </w:p>
    <w:p>
      <w:pPr>
        <w:pStyle w:val="Compact"/>
        <w:numPr>
          <w:ilvl w:val="0"/>
          <w:numId w:val="1128"/>
        </w:numPr>
      </w:pPr>
      <w:r>
        <w:t xml:space="preserve">Communication plan developed</w:t>
      </w:r>
    </w:p>
    <w:p>
      <w:pPr>
        <w:pStyle w:val="Compact"/>
        <w:numPr>
          <w:ilvl w:val="0"/>
          <w:numId w:val="1129"/>
        </w:numPr>
      </w:pPr>
      <w:r>
        <w:t xml:space="preserve">Organizational culture alignment assessed</w:t>
      </w:r>
    </w:p>
    <w:bookmarkEnd w:id="418"/>
    <w:bookmarkStart w:id="419" w:name="characteristics-of-individuals"/>
    <w:p>
      <w:pPr>
        <w:pStyle w:val="Heading4"/>
      </w:pPr>
      <w:r>
        <w:t xml:space="preserve">Characteristics of Individuals</w:t>
      </w:r>
    </w:p>
    <w:p>
      <w:pPr>
        <w:pStyle w:val="Compact"/>
        <w:numPr>
          <w:ilvl w:val="0"/>
          <w:numId w:val="1130"/>
        </w:numPr>
      </w:pPr>
      <w:r>
        <w:t xml:space="preserve">User attitudes toward change assessed</w:t>
      </w:r>
    </w:p>
    <w:p>
      <w:pPr>
        <w:pStyle w:val="Compact"/>
        <w:numPr>
          <w:ilvl w:val="0"/>
          <w:numId w:val="1131"/>
        </w:numPr>
      </w:pPr>
      <w:r>
        <w:t xml:space="preserve">Training needs identified</w:t>
      </w:r>
    </w:p>
    <w:p>
      <w:pPr>
        <w:pStyle w:val="Compact"/>
        <w:numPr>
          <w:ilvl w:val="0"/>
          <w:numId w:val="1132"/>
        </w:numPr>
      </w:pPr>
      <w:r>
        <w:t xml:space="preserve">Champions identified and engaged</w:t>
      </w:r>
    </w:p>
    <w:p>
      <w:pPr>
        <w:pStyle w:val="Compact"/>
        <w:numPr>
          <w:ilvl w:val="0"/>
          <w:numId w:val="1133"/>
        </w:numPr>
      </w:pPr>
      <w:r>
        <w:t xml:space="preserve">Self-efficacy barriers addressed</w:t>
      </w:r>
    </w:p>
    <w:bookmarkEnd w:id="419"/>
    <w:bookmarkStart w:id="420" w:name="process"/>
    <w:p>
      <w:pPr>
        <w:pStyle w:val="Heading4"/>
      </w:pPr>
      <w:r>
        <w:t xml:space="preserve">Process</w:t>
      </w:r>
    </w:p>
    <w:p>
      <w:pPr>
        <w:pStyle w:val="Compact"/>
        <w:numPr>
          <w:ilvl w:val="0"/>
          <w:numId w:val="1134"/>
        </w:numPr>
      </w:pPr>
      <w:r>
        <w:t xml:space="preserve">Detailed implementation plan developed</w:t>
      </w:r>
    </w:p>
    <w:p>
      <w:pPr>
        <w:pStyle w:val="Compact"/>
        <w:numPr>
          <w:ilvl w:val="0"/>
          <w:numId w:val="1135"/>
        </w:numPr>
      </w:pPr>
      <w:r>
        <w:t xml:space="preserve">Key milestones and decision points defined</w:t>
      </w:r>
    </w:p>
    <w:p>
      <w:pPr>
        <w:pStyle w:val="Compact"/>
        <w:numPr>
          <w:ilvl w:val="0"/>
          <w:numId w:val="1136"/>
        </w:numPr>
      </w:pPr>
      <w:r>
        <w:t xml:space="preserve">Monitoring and feedback mechanisms established</w:t>
      </w:r>
    </w:p>
    <w:p>
      <w:pPr>
        <w:pStyle w:val="Compact"/>
        <w:numPr>
          <w:ilvl w:val="0"/>
          <w:numId w:val="1137"/>
        </w:numPr>
      </w:pPr>
      <w:r>
        <w:t xml:space="preserve">Contingency plans for common risks</w:t>
      </w:r>
    </w:p>
    <w:bookmarkEnd w:id="420"/>
    <w:bookmarkEnd w:id="421"/>
    <w:bookmarkStart w:id="426" w:name="user-story-templates"/>
    <w:p>
      <w:pPr>
        <w:pStyle w:val="Heading3"/>
      </w:pPr>
      <w:r>
        <w:t xml:space="preserve">User Story Templates</w:t>
      </w:r>
    </w:p>
    <w:bookmarkStart w:id="422" w:name="standard-format"/>
    <w:p>
      <w:pPr>
        <w:pStyle w:val="Heading4"/>
      </w:pPr>
      <w:r>
        <w:t xml:space="preserve">Standard Format</w:t>
      </w:r>
    </w:p>
    <w:p>
      <w:pPr>
        <w:pStyle w:val="BlockText"/>
      </w:pPr>
      <w:r>
        <w:t xml:space="preserve">As a [role], I want [feature/capability], so that [benefit/value].</w:t>
      </w:r>
    </w:p>
    <w:bookmarkEnd w:id="422"/>
    <w:bookmarkStart w:id="423"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23"/>
    <w:bookmarkStart w:id="424"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24"/>
    <w:bookmarkStart w:id="425"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25"/>
    <w:bookmarkEnd w:id="426"/>
    <w:bookmarkStart w:id="427"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27"/>
    <w:bookmarkStart w:id="428"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28"/>
    <w:bookmarkStart w:id="430"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29"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29"/>
    <w:bookmarkEnd w:id="430"/>
    <w:bookmarkEnd w:id="431"/>
    <w:bookmarkEnd w:id="432"/>
    <w:bookmarkStart w:id="472" w:name="development-tools"/>
    <w:p>
      <w:pPr>
        <w:pStyle w:val="Heading1"/>
      </w:pPr>
      <w:r>
        <w:t xml:space="preserve">Development Tools</w:t>
      </w:r>
    </w:p>
    <w:bookmarkStart w:id="471"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33"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33"/>
    <w:bookmarkStart w:id="438"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38"/>
        </w:numPr>
      </w:pPr>
      <w:r>
        <w:rPr>
          <w:b/>
          <w:bCs/>
        </w:rPr>
        <w:t xml:space="preserve">Refining ideas</w:t>
      </w:r>
      <w:r>
        <w:t xml:space="preserve">: Brainstorming content structure and terminology mappings</w:t>
      </w:r>
    </w:p>
    <w:p>
      <w:pPr>
        <w:pStyle w:val="Compact"/>
        <w:numPr>
          <w:ilvl w:val="0"/>
          <w:numId w:val="1138"/>
        </w:numPr>
      </w:pPr>
      <w:r>
        <w:rPr>
          <w:b/>
          <w:bCs/>
        </w:rPr>
        <w:t xml:space="preserve">Analysis</w:t>
      </w:r>
      <w:r>
        <w:t xml:space="preserve">: Reviewing and improving BA-PH framework alignments</w:t>
      </w:r>
    </w:p>
    <w:p>
      <w:pPr>
        <w:pStyle w:val="Compact"/>
        <w:numPr>
          <w:ilvl w:val="0"/>
          <w:numId w:val="1138"/>
        </w:numPr>
      </w:pPr>
      <w:r>
        <w:rPr>
          <w:b/>
          <w:bCs/>
        </w:rPr>
        <w:t xml:space="preserve">Code development</w:t>
      </w:r>
      <w:r>
        <w:t xml:space="preserve">: Generating Mermaid diagrams, R scripts, and configuration files</w:t>
      </w:r>
    </w:p>
    <w:bookmarkStart w:id="434"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34"/>
    <w:bookmarkStart w:id="435" w:name="copilot-features"/>
    <w:p>
      <w:pPr>
        <w:pStyle w:val="Heading4"/>
      </w:pPr>
      <w:r>
        <w:t xml:space="preserve">Copilot Features</w:t>
      </w:r>
    </w:p>
    <w:p>
      <w:pPr>
        <w:pStyle w:val="Compact"/>
        <w:numPr>
          <w:ilvl w:val="0"/>
          <w:numId w:val="1139"/>
        </w:numPr>
      </w:pPr>
      <w:r>
        <w:rPr>
          <w:b/>
          <w:bCs/>
        </w:rPr>
        <w:t xml:space="preserve">Chat</w:t>
      </w:r>
      <w:r>
        <w:t xml:space="preserve">: Interactive conversation for complex tasks</w:t>
      </w:r>
    </w:p>
    <w:p>
      <w:pPr>
        <w:pStyle w:val="Compact"/>
        <w:numPr>
          <w:ilvl w:val="0"/>
          <w:numId w:val="1139"/>
        </w:numPr>
      </w:pPr>
      <w:r>
        <w:rPr>
          <w:b/>
          <w:bCs/>
        </w:rPr>
        <w:t xml:space="preserve">Inline suggestions</w:t>
      </w:r>
      <w:r>
        <w:t xml:space="preserve">: Real-time code and content completion</w:t>
      </w:r>
    </w:p>
    <w:p>
      <w:pPr>
        <w:pStyle w:val="Compact"/>
        <w:numPr>
          <w:ilvl w:val="0"/>
          <w:numId w:val="1139"/>
        </w:numPr>
      </w:pPr>
      <w:r>
        <w:rPr>
          <w:b/>
          <w:bCs/>
        </w:rPr>
        <w:t xml:space="preserve">Agent mode</w:t>
      </w:r>
      <w:r>
        <w:t xml:space="preserve">: Multi-step tasks with file creation and terminal access</w:t>
      </w:r>
    </w:p>
    <w:bookmarkEnd w:id="435"/>
    <w:bookmarkStart w:id="436"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40"/>
        </w:numPr>
      </w:pPr>
      <w:r>
        <w:rPr>
          <w:b/>
          <w:bCs/>
        </w:rPr>
        <w:t xml:space="preserve">Google Gemini</w:t>
      </w:r>
      <w:r>
        <w:t xml:space="preserve">: Extended research capabilities for comprehensive literature review and framework analysis</w:t>
      </w:r>
    </w:p>
    <w:p>
      <w:pPr>
        <w:pStyle w:val="Compact"/>
        <w:numPr>
          <w:ilvl w:val="0"/>
          <w:numId w:val="1140"/>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36"/>
    <w:bookmarkStart w:id="437"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41"/>
        </w:numPr>
      </w:pPr>
      <w:r>
        <w:t xml:space="preserve">Repository structure and conventions</w:t>
      </w:r>
    </w:p>
    <w:p>
      <w:pPr>
        <w:pStyle w:val="Compact"/>
        <w:numPr>
          <w:ilvl w:val="0"/>
          <w:numId w:val="1141"/>
        </w:numPr>
      </w:pPr>
      <w:r>
        <w:t xml:space="preserve">BA-PH terminology mappings</w:t>
      </w:r>
    </w:p>
    <w:p>
      <w:pPr>
        <w:pStyle w:val="Compact"/>
        <w:numPr>
          <w:ilvl w:val="0"/>
          <w:numId w:val="1141"/>
        </w:numPr>
      </w:pPr>
      <w:r>
        <w:t xml:space="preserve">CancerSurv case study details</w:t>
      </w:r>
    </w:p>
    <w:p>
      <w:pPr>
        <w:pStyle w:val="Compact"/>
        <w:numPr>
          <w:ilvl w:val="0"/>
          <w:numId w:val="1141"/>
        </w:numPr>
      </w:pPr>
      <w:r>
        <w:t xml:space="preserve">Formatting standards and style guidelines</w:t>
      </w:r>
    </w:p>
    <w:bookmarkEnd w:id="437"/>
    <w:bookmarkEnd w:id="438"/>
    <w:bookmarkStart w:id="446" w:name="local-development-setup"/>
    <w:p>
      <w:pPr>
        <w:pStyle w:val="Heading3"/>
      </w:pPr>
      <w:r>
        <w:t xml:space="preserve">Local Development Setup</w:t>
      </w:r>
    </w:p>
    <w:bookmarkStart w:id="442" w:name="prerequisites"/>
    <w:p>
      <w:pPr>
        <w:pStyle w:val="Heading4"/>
      </w:pPr>
      <w:r>
        <w:t xml:space="preserve">Prerequisites</w:t>
      </w:r>
    </w:p>
    <w:p>
      <w:pPr>
        <w:pStyle w:val="Compact"/>
        <w:numPr>
          <w:ilvl w:val="0"/>
          <w:numId w:val="1142"/>
        </w:numPr>
      </w:pPr>
      <w:r>
        <w:rPr>
          <w:b/>
          <w:bCs/>
        </w:rPr>
        <w:t xml:space="preserve">Install Quarto</w:t>
      </w:r>
      <w:r>
        <w:t xml:space="preserve">: Download from</w:t>
      </w:r>
      <w:r>
        <w:t xml:space="preserve"> </w:t>
      </w:r>
      <w:hyperlink r:id="rId439">
        <w:r>
          <w:rPr>
            <w:rStyle w:val="Hyperlink"/>
          </w:rPr>
          <w:t xml:space="preserve">quarto.org</w:t>
        </w:r>
      </w:hyperlink>
    </w:p>
    <w:p>
      <w:pPr>
        <w:pStyle w:val="Compact"/>
        <w:numPr>
          <w:ilvl w:val="0"/>
          <w:numId w:val="1142"/>
        </w:numPr>
      </w:pPr>
      <w:r>
        <w:rPr>
          <w:b/>
          <w:bCs/>
        </w:rPr>
        <w:t xml:space="preserve">Install VS Code</w:t>
      </w:r>
      <w:r>
        <w:t xml:space="preserve">: Download from</w:t>
      </w:r>
      <w:r>
        <w:t xml:space="preserve"> </w:t>
      </w:r>
      <w:hyperlink r:id="rId440">
        <w:r>
          <w:rPr>
            <w:rStyle w:val="Hyperlink"/>
          </w:rPr>
          <w:t xml:space="preserve">code.visualstudio.com</w:t>
        </w:r>
      </w:hyperlink>
    </w:p>
    <w:p>
      <w:pPr>
        <w:pStyle w:val="Compact"/>
        <w:numPr>
          <w:ilvl w:val="0"/>
          <w:numId w:val="1142"/>
        </w:numPr>
      </w:pPr>
      <w:r>
        <w:rPr>
          <w:b/>
          <w:bCs/>
        </w:rPr>
        <w:t xml:space="preserve">Install Git</w:t>
      </w:r>
      <w:r>
        <w:t xml:space="preserve">: Download from</w:t>
      </w:r>
      <w:r>
        <w:t xml:space="preserve"> </w:t>
      </w:r>
      <w:hyperlink r:id="rId441">
        <w:r>
          <w:rPr>
            <w:rStyle w:val="Hyperlink"/>
          </w:rPr>
          <w:t xml:space="preserve">git-scm.com</w:t>
        </w:r>
      </w:hyperlink>
    </w:p>
    <w:p>
      <w:pPr>
        <w:pStyle w:val="Compact"/>
        <w:numPr>
          <w:ilvl w:val="0"/>
          <w:numId w:val="1142"/>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42"/>
    <w:bookmarkStart w:id="443"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43"/>
    <w:bookmarkStart w:id="444"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44"/>
    <w:bookmarkStart w:id="445"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45"/>
    <w:bookmarkEnd w:id="446"/>
    <w:bookmarkStart w:id="447"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47"/>
    <w:bookmarkStart w:id="450" w:name="configuration-files"/>
    <w:p>
      <w:pPr>
        <w:pStyle w:val="Heading3"/>
      </w:pPr>
      <w:r>
        <w:t xml:space="preserve">Configuration Files</w:t>
      </w:r>
    </w:p>
    <w:bookmarkStart w:id="448" w:name="quarto.yml"/>
    <w:p>
      <w:pPr>
        <w:pStyle w:val="Heading4"/>
      </w:pPr>
      <w:r>
        <w:t xml:space="preserve">_quarto.yml</w:t>
      </w:r>
    </w:p>
    <w:p>
      <w:pPr>
        <w:pStyle w:val="FirstParagraph"/>
      </w:pPr>
      <w:r>
        <w:t xml:space="preserve">The main configuration file controls:</w:t>
      </w:r>
    </w:p>
    <w:p>
      <w:pPr>
        <w:pStyle w:val="Compact"/>
        <w:numPr>
          <w:ilvl w:val="0"/>
          <w:numId w:val="1143"/>
        </w:numPr>
      </w:pPr>
      <w:r>
        <w:t xml:space="preserve">Book metadata (title, author, date)</w:t>
      </w:r>
    </w:p>
    <w:p>
      <w:pPr>
        <w:pStyle w:val="Compact"/>
        <w:numPr>
          <w:ilvl w:val="0"/>
          <w:numId w:val="1143"/>
        </w:numPr>
      </w:pPr>
      <w:r>
        <w:t xml:space="preserve">Chapter organization</w:t>
      </w:r>
    </w:p>
    <w:p>
      <w:pPr>
        <w:pStyle w:val="Compact"/>
        <w:numPr>
          <w:ilvl w:val="0"/>
          <w:numId w:val="1143"/>
        </w:numPr>
      </w:pPr>
      <w:r>
        <w:t xml:space="preserve">Output formats (HTML, DOCX)</w:t>
      </w:r>
    </w:p>
    <w:p>
      <w:pPr>
        <w:pStyle w:val="Compact"/>
        <w:numPr>
          <w:ilvl w:val="0"/>
          <w:numId w:val="1143"/>
        </w:numPr>
      </w:pPr>
      <w:r>
        <w:t xml:space="preserve">Theme and styling</w:t>
      </w:r>
    </w:p>
    <w:p>
      <w:pPr>
        <w:pStyle w:val="Compact"/>
        <w:numPr>
          <w:ilvl w:val="0"/>
          <w:numId w:val="1143"/>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48"/>
    <w:bookmarkStart w:id="449"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49"/>
    <w:bookmarkEnd w:id="450"/>
    <w:bookmarkStart w:id="454" w:name="writing-content"/>
    <w:p>
      <w:pPr>
        <w:pStyle w:val="Heading3"/>
      </w:pPr>
      <w:r>
        <w:t xml:space="preserve">Writing Content</w:t>
      </w:r>
    </w:p>
    <w:bookmarkStart w:id="451"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51"/>
    <w:bookmarkStart w:id="452"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44"/>
        </w:numPr>
      </w:pPr>
      <w:r>
        <w:rPr>
          <w:rStyle w:val="VerbatimChar"/>
        </w:rPr>
        <w:t xml:space="preserve">flowchart</w:t>
      </w:r>
      <w:r>
        <w:t xml:space="preserve">: Process flows, architecture</w:t>
      </w:r>
    </w:p>
    <w:p>
      <w:pPr>
        <w:pStyle w:val="Compact"/>
        <w:numPr>
          <w:ilvl w:val="0"/>
          <w:numId w:val="1144"/>
        </w:numPr>
      </w:pPr>
      <w:r>
        <w:rPr>
          <w:rStyle w:val="VerbatimChar"/>
        </w:rPr>
        <w:t xml:space="preserve">sequenceDiagram</w:t>
      </w:r>
      <w:r>
        <w:t xml:space="preserve">: Interactions over time</w:t>
      </w:r>
    </w:p>
    <w:p>
      <w:pPr>
        <w:pStyle w:val="Compact"/>
        <w:numPr>
          <w:ilvl w:val="0"/>
          <w:numId w:val="1144"/>
        </w:numPr>
      </w:pPr>
      <w:r>
        <w:rPr>
          <w:rStyle w:val="VerbatimChar"/>
        </w:rPr>
        <w:t xml:space="preserve">erDiagram</w:t>
      </w:r>
      <w:r>
        <w:t xml:space="preserve">: Data models</w:t>
      </w:r>
    </w:p>
    <w:p>
      <w:pPr>
        <w:pStyle w:val="Compact"/>
        <w:numPr>
          <w:ilvl w:val="0"/>
          <w:numId w:val="1144"/>
        </w:numPr>
      </w:pPr>
      <w:r>
        <w:rPr>
          <w:rStyle w:val="VerbatimChar"/>
        </w:rPr>
        <w:t xml:space="preserve">gantt</w:t>
      </w:r>
      <w:r>
        <w:t xml:space="preserve">: Project timelines</w:t>
      </w:r>
    </w:p>
    <w:bookmarkEnd w:id="452"/>
    <w:bookmarkStart w:id="453"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53"/>
    <w:bookmarkEnd w:id="454"/>
    <w:bookmarkStart w:id="458" w:name="publishing"/>
    <w:p>
      <w:pPr>
        <w:pStyle w:val="Heading3"/>
      </w:pPr>
      <w:r>
        <w:t xml:space="preserve">Publishing</w:t>
      </w:r>
    </w:p>
    <w:bookmarkStart w:id="455"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55"/>
    <w:bookmarkStart w:id="456"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56"/>
    <w:bookmarkStart w:id="457" w:name="initial-setup"/>
    <w:p>
      <w:pPr>
        <w:pStyle w:val="Heading4"/>
      </w:pPr>
      <w:r>
        <w:t xml:space="preserve">Initial Setup</w:t>
      </w:r>
    </w:p>
    <w:p>
      <w:pPr>
        <w:pStyle w:val="FirstParagraph"/>
      </w:pPr>
      <w:r>
        <w:t xml:space="preserve">For first-time setup:</w:t>
      </w:r>
    </w:p>
    <w:p>
      <w:pPr>
        <w:pStyle w:val="Compact"/>
        <w:numPr>
          <w:ilvl w:val="0"/>
          <w:numId w:val="1145"/>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45"/>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45"/>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45"/>
        </w:numPr>
      </w:pPr>
      <w:r>
        <w:t xml:space="preserve">Enable GitHub Pages in repository settings (source:</w:t>
      </w:r>
      <w:r>
        <w:t xml:space="preserve"> </w:t>
      </w:r>
      <w:r>
        <w:rPr>
          <w:rStyle w:val="VerbatimChar"/>
        </w:rPr>
        <w:t xml:space="preserve">gh-pages</w:t>
      </w:r>
      <w:r>
        <w:t xml:space="preserve"> </w:t>
      </w:r>
      <w:r>
        <w:t xml:space="preserve">branch)</w:t>
      </w:r>
    </w:p>
    <w:bookmarkEnd w:id="457"/>
    <w:bookmarkEnd w:id="458"/>
    <w:bookmarkStart w:id="462" w:name="contributing"/>
    <w:p>
      <w:pPr>
        <w:pStyle w:val="Heading3"/>
      </w:pPr>
      <w:r>
        <w:t xml:space="preserve">Contributing</w:t>
      </w:r>
    </w:p>
    <w:bookmarkStart w:id="459" w:name="branch-strategy"/>
    <w:p>
      <w:pPr>
        <w:pStyle w:val="Heading4"/>
      </w:pPr>
      <w:r>
        <w:t xml:space="preserve">Branch Strategy</w:t>
      </w:r>
    </w:p>
    <w:p>
      <w:pPr>
        <w:pStyle w:val="Compact"/>
        <w:numPr>
          <w:ilvl w:val="0"/>
          <w:numId w:val="1146"/>
        </w:numPr>
      </w:pPr>
      <w:r>
        <w:rPr>
          <w:rStyle w:val="VerbatimChar"/>
        </w:rPr>
        <w:t xml:space="preserve">main</w:t>
      </w:r>
      <w:r>
        <w:t xml:space="preserve">: Production-ready content</w:t>
      </w:r>
    </w:p>
    <w:p>
      <w:pPr>
        <w:pStyle w:val="Compact"/>
        <w:numPr>
          <w:ilvl w:val="0"/>
          <w:numId w:val="1146"/>
        </w:numPr>
      </w:pPr>
      <w:r>
        <w:t xml:space="preserve">Feature branches: For new content or significant changes</w:t>
      </w:r>
    </w:p>
    <w:p>
      <w:pPr>
        <w:pStyle w:val="Compact"/>
        <w:numPr>
          <w:ilvl w:val="0"/>
          <w:numId w:val="1146"/>
        </w:numPr>
      </w:pPr>
      <w:r>
        <w:t xml:space="preserve">Pull requests: For review before merging to main</w:t>
      </w:r>
    </w:p>
    <w:bookmarkEnd w:id="459"/>
    <w:bookmarkStart w:id="460" w:name="content-guidelines"/>
    <w:p>
      <w:pPr>
        <w:pStyle w:val="Heading4"/>
      </w:pPr>
      <w:r>
        <w:t xml:space="preserve">Content Guidelines</w:t>
      </w:r>
    </w:p>
    <w:p>
      <w:pPr>
        <w:pStyle w:val="Compact"/>
        <w:numPr>
          <w:ilvl w:val="0"/>
          <w:numId w:val="1147"/>
        </w:numPr>
      </w:pPr>
      <w:r>
        <w:t xml:space="preserve">Follow the BA-PH dual framing throughout</w:t>
      </w:r>
    </w:p>
    <w:p>
      <w:pPr>
        <w:pStyle w:val="Compact"/>
        <w:numPr>
          <w:ilvl w:val="0"/>
          <w:numId w:val="1147"/>
        </w:numPr>
      </w:pPr>
      <w:r>
        <w:t xml:space="preserve">Include CancerSurv examples in callout boxes</w:t>
      </w:r>
    </w:p>
    <w:p>
      <w:pPr>
        <w:pStyle w:val="Compact"/>
        <w:numPr>
          <w:ilvl w:val="0"/>
          <w:numId w:val="1147"/>
        </w:numPr>
      </w:pPr>
      <w:r>
        <w:t xml:space="preserve">Use tables for terminology mapping</w:t>
      </w:r>
    </w:p>
    <w:p>
      <w:pPr>
        <w:pStyle w:val="Compact"/>
        <w:numPr>
          <w:ilvl w:val="0"/>
          <w:numId w:val="1147"/>
        </w:numPr>
      </w:pPr>
      <w:r>
        <w:t xml:space="preserve">Avoid em dashes and en dashes; rewrite sentences instead</w:t>
      </w:r>
    </w:p>
    <w:p>
      <w:pPr>
        <w:pStyle w:val="Compact"/>
        <w:numPr>
          <w:ilvl w:val="0"/>
          <w:numId w:val="1147"/>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60"/>
    <w:bookmarkStart w:id="461" w:name="style-guidelines"/>
    <w:p>
      <w:pPr>
        <w:pStyle w:val="Heading4"/>
      </w:pPr>
      <w:r>
        <w:t xml:space="preserve">Style Guidelines</w:t>
      </w:r>
    </w:p>
    <w:p>
      <w:pPr>
        <w:pStyle w:val="Compact"/>
        <w:numPr>
          <w:ilvl w:val="0"/>
          <w:numId w:val="1148"/>
        </w:numPr>
      </w:pPr>
      <w:r>
        <w:t xml:space="preserve">First-person voice only in Preface and personal sections</w:t>
      </w:r>
    </w:p>
    <w:p>
      <w:pPr>
        <w:pStyle w:val="Compact"/>
        <w:numPr>
          <w:ilvl w:val="0"/>
          <w:numId w:val="1148"/>
        </w:numPr>
      </w:pPr>
      <w:r>
        <w:t xml:space="preserve">Professional/instructional tone for toolkit content</w:t>
      </w:r>
    </w:p>
    <w:p>
      <w:pPr>
        <w:pStyle w:val="Compact"/>
        <w:numPr>
          <w:ilvl w:val="0"/>
          <w:numId w:val="1148"/>
        </w:numPr>
      </w:pPr>
      <w:r>
        <w:t xml:space="preserve">Academic yet accessible language</w:t>
      </w:r>
    </w:p>
    <w:p>
      <w:pPr>
        <w:pStyle w:val="Compact"/>
        <w:numPr>
          <w:ilvl w:val="0"/>
          <w:numId w:val="1148"/>
        </w:numPr>
      </w:pPr>
      <w:r>
        <w:t xml:space="preserve">Ground claims in evidence where possible</w:t>
      </w:r>
    </w:p>
    <w:bookmarkEnd w:id="461"/>
    <w:bookmarkEnd w:id="462"/>
    <w:bookmarkStart w:id="465" w:name="troubleshooting"/>
    <w:p>
      <w:pPr>
        <w:pStyle w:val="Heading3"/>
      </w:pPr>
      <w:r>
        <w:t xml:space="preserve">Troubleshooting</w:t>
      </w:r>
    </w:p>
    <w:bookmarkStart w:id="464"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63">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64"/>
    <w:bookmarkEnd w:id="465"/>
    <w:bookmarkStart w:id="470" w:name="resources"/>
    <w:p>
      <w:pPr>
        <w:pStyle w:val="Heading3"/>
      </w:pPr>
      <w:r>
        <w:t xml:space="preserve">Resources</w:t>
      </w:r>
    </w:p>
    <w:p>
      <w:pPr>
        <w:pStyle w:val="Compact"/>
        <w:numPr>
          <w:ilvl w:val="0"/>
          <w:numId w:val="1149"/>
        </w:numPr>
      </w:pPr>
      <w:hyperlink r:id="rId466">
        <w:r>
          <w:rPr>
            <w:rStyle w:val="Hyperlink"/>
          </w:rPr>
          <w:t xml:space="preserve">Quarto Documentation</w:t>
        </w:r>
      </w:hyperlink>
    </w:p>
    <w:p>
      <w:pPr>
        <w:pStyle w:val="Compact"/>
        <w:numPr>
          <w:ilvl w:val="0"/>
          <w:numId w:val="1149"/>
        </w:numPr>
      </w:pPr>
      <w:hyperlink r:id="rId467">
        <w:r>
          <w:rPr>
            <w:rStyle w:val="Hyperlink"/>
          </w:rPr>
          <w:t xml:space="preserve">Quarto Books Guide</w:t>
        </w:r>
      </w:hyperlink>
    </w:p>
    <w:p>
      <w:pPr>
        <w:pStyle w:val="Compact"/>
        <w:numPr>
          <w:ilvl w:val="0"/>
          <w:numId w:val="1149"/>
        </w:numPr>
      </w:pPr>
      <w:hyperlink r:id="rId468">
        <w:r>
          <w:rPr>
            <w:rStyle w:val="Hyperlink"/>
          </w:rPr>
          <w:t xml:space="preserve">Mermaid Documentation</w:t>
        </w:r>
      </w:hyperlink>
    </w:p>
    <w:p>
      <w:pPr>
        <w:pStyle w:val="Compact"/>
        <w:numPr>
          <w:ilvl w:val="0"/>
          <w:numId w:val="1149"/>
        </w:numPr>
      </w:pPr>
      <w:hyperlink r:id="rId469">
        <w:r>
          <w:rPr>
            <w:rStyle w:val="Hyperlink"/>
          </w:rPr>
          <w:t xml:space="preserve">GitHub Pages Documentation</w:t>
        </w:r>
      </w:hyperlink>
    </w:p>
    <w:bookmarkEnd w:id="470"/>
    <w:bookmarkEnd w:id="471"/>
    <w:bookmarkEnd w:id="472"/>
    <w:bookmarkStart w:id="505" w:name="workforce-development"/>
    <w:p>
      <w:pPr>
        <w:pStyle w:val="Heading1"/>
      </w:pPr>
      <w:r>
        <w:t xml:space="preserve">Workforce Development</w:t>
      </w:r>
    </w:p>
    <w:bookmarkStart w:id="504"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475"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50"/>
        </w:numPr>
      </w:pPr>
      <w:r>
        <w:t xml:space="preserve">MPH or equivalent graduate training</w:t>
      </w:r>
    </w:p>
    <w:p>
      <w:pPr>
        <w:pStyle w:val="Compact"/>
        <w:numPr>
          <w:ilvl w:val="0"/>
          <w:numId w:val="1150"/>
        </w:numPr>
      </w:pPr>
      <w:r>
        <w:t xml:space="preserve">Coursework in epidemiology, biostatistics, health policy</w:t>
      </w:r>
    </w:p>
    <w:p>
      <w:pPr>
        <w:pStyle w:val="Compact"/>
        <w:numPr>
          <w:ilvl w:val="0"/>
          <w:numId w:val="1150"/>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51"/>
        </w:numPr>
      </w:pPr>
      <w:r>
        <w:t xml:space="preserve">Business or IT undergraduate degree</w:t>
      </w:r>
    </w:p>
    <w:p>
      <w:pPr>
        <w:pStyle w:val="Compact"/>
        <w:numPr>
          <w:ilvl w:val="0"/>
          <w:numId w:val="1151"/>
        </w:numPr>
      </w:pPr>
      <w:r>
        <w:t xml:space="preserve">CBAP, PMI-PBA, or similar certification</w:t>
      </w:r>
    </w:p>
    <w:p>
      <w:pPr>
        <w:pStyle w:val="Compact"/>
        <w:numPr>
          <w:ilvl w:val="0"/>
          <w:numId w:val="1151"/>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C:\Users\andre\AppData\Local\Programs\Quarto\share\formats\docx\note.png" id="4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475"/>
    <w:bookmarkStart w:id="486" w:name="emerging-training-programs"/>
    <w:p>
      <w:pPr>
        <w:pStyle w:val="Heading3"/>
      </w:pPr>
      <w:r>
        <w:t xml:space="preserve">Emerging Training Programs</w:t>
      </w:r>
    </w:p>
    <w:p>
      <w:pPr>
        <w:pStyle w:val="FirstParagraph"/>
      </w:pPr>
      <w:r>
        <w:t xml:space="preserve">Several initiatives are working to close this gap:</w:t>
      </w:r>
    </w:p>
    <w:bookmarkStart w:id="477"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476">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477"/>
    <w:bookmarkStart w:id="479" w:name="phit-workforce-development-program"/>
    <w:p>
      <w:pPr>
        <w:pStyle w:val="Heading4"/>
      </w:pPr>
      <w:r>
        <w:t xml:space="preserve">PHIT Workforce Development Program</w:t>
      </w:r>
    </w:p>
    <w:p>
      <w:pPr>
        <w:pStyle w:val="FirstParagraph"/>
      </w:pPr>
      <w:r>
        <w:t xml:space="preserve">The</w:t>
      </w:r>
      <w:r>
        <w:t xml:space="preserve"> </w:t>
      </w:r>
      <w:hyperlink r:id="rId478">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479"/>
    <w:bookmarkStart w:id="481"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480">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52"/>
        </w:numPr>
      </w:pPr>
      <w:r>
        <w:t xml:space="preserve">Develops competency frameworks for public health informatics</w:t>
      </w:r>
    </w:p>
    <w:p>
      <w:pPr>
        <w:pStyle w:val="Compact"/>
        <w:numPr>
          <w:ilvl w:val="0"/>
          <w:numId w:val="1152"/>
        </w:numPr>
      </w:pPr>
      <w:r>
        <w:t xml:space="preserve">Shares best practices across organizations</w:t>
      </w:r>
    </w:p>
    <w:p>
      <w:pPr>
        <w:pStyle w:val="Compact"/>
        <w:numPr>
          <w:ilvl w:val="0"/>
          <w:numId w:val="1152"/>
        </w:numPr>
      </w:pPr>
      <w:r>
        <w:t xml:space="preserve">Advocates for workforce development resources</w:t>
      </w:r>
    </w:p>
    <w:p>
      <w:pPr>
        <w:pStyle w:val="Compact"/>
        <w:numPr>
          <w:ilvl w:val="0"/>
          <w:numId w:val="1152"/>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481"/>
    <w:bookmarkStart w:id="485"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482">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483">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484">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485"/>
    <w:bookmarkEnd w:id="486"/>
    <w:bookmarkStart w:id="491"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487"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53"/>
        </w:numPr>
      </w:pPr>
      <w:r>
        <w:rPr>
          <w:b/>
          <w:bCs/>
        </w:rPr>
        <w:t xml:space="preserve">Health Informatics Liaison</w:t>
      </w:r>
      <w:r>
        <w:t xml:space="preserve">: Embedded in IT teams but reporting to public health leadership</w:t>
      </w:r>
    </w:p>
    <w:p>
      <w:pPr>
        <w:pStyle w:val="Compact"/>
        <w:numPr>
          <w:ilvl w:val="0"/>
          <w:numId w:val="1153"/>
        </w:numPr>
      </w:pPr>
      <w:r>
        <w:rPr>
          <w:b/>
          <w:bCs/>
        </w:rPr>
        <w:t xml:space="preserve">Technical Program Analyst</w:t>
      </w:r>
      <w:r>
        <w:t xml:space="preserve">: Embedded in public health programs but with explicit BA responsibilities</w:t>
      </w:r>
    </w:p>
    <w:p>
      <w:pPr>
        <w:pStyle w:val="Compact"/>
        <w:numPr>
          <w:ilvl w:val="0"/>
          <w:numId w:val="1153"/>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54"/>
        </w:numPr>
      </w:pPr>
      <w:r>
        <w:t xml:space="preserve">Dual reporting or matrix accountability</w:t>
      </w:r>
    </w:p>
    <w:p>
      <w:pPr>
        <w:pStyle w:val="Compact"/>
        <w:numPr>
          <w:ilvl w:val="0"/>
          <w:numId w:val="1154"/>
        </w:numPr>
      </w:pPr>
      <w:r>
        <w:t xml:space="preserve">Performance metrics that span technical and programmatic outcomes</w:t>
      </w:r>
    </w:p>
    <w:p>
      <w:pPr>
        <w:pStyle w:val="Compact"/>
        <w:numPr>
          <w:ilvl w:val="0"/>
          <w:numId w:val="1154"/>
        </w:numPr>
      </w:pPr>
      <w:r>
        <w:t xml:space="preserve">Professional development budgets for cross-training</w:t>
      </w:r>
    </w:p>
    <w:bookmarkEnd w:id="487"/>
    <w:bookmarkStart w:id="488"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55"/>
        </w:numPr>
      </w:pPr>
      <w:r>
        <w:t xml:space="preserve">Terminology glossaries (like Chapter 3 of this book)</w:t>
      </w:r>
    </w:p>
    <w:p>
      <w:pPr>
        <w:pStyle w:val="Compact"/>
        <w:numPr>
          <w:ilvl w:val="0"/>
          <w:numId w:val="1155"/>
        </w:numPr>
      </w:pPr>
      <w:r>
        <w:t xml:space="preserve">Framework overviews (BABOK basics for PH staff; CDC evaluation basics for BA staff)</w:t>
      </w:r>
    </w:p>
    <w:p>
      <w:pPr>
        <w:pStyle w:val="Compact"/>
        <w:numPr>
          <w:ilvl w:val="0"/>
          <w:numId w:val="1155"/>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488"/>
    <w:bookmarkStart w:id="489"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56"/>
        </w:numPr>
      </w:pPr>
      <w:r>
        <w:t xml:space="preserve">Include line items for terminology alignment workshops</w:t>
      </w:r>
    </w:p>
    <w:p>
      <w:pPr>
        <w:pStyle w:val="Compact"/>
        <w:numPr>
          <w:ilvl w:val="0"/>
          <w:numId w:val="1156"/>
        </w:numPr>
      </w:pPr>
      <w:r>
        <w:t xml:space="preserve">Budget for cross-training or professional development</w:t>
      </w:r>
    </w:p>
    <w:p>
      <w:pPr>
        <w:pStyle w:val="Compact"/>
        <w:numPr>
          <w:ilvl w:val="0"/>
          <w:numId w:val="1156"/>
        </w:numPr>
      </w:pPr>
      <w:r>
        <w:t xml:space="preserve">Allocate facilitation time for mixed-team meetings</w:t>
      </w:r>
    </w:p>
    <w:p>
      <w:pPr>
        <w:pStyle w:val="Compact"/>
        <w:numPr>
          <w:ilvl w:val="0"/>
          <w:numId w:val="1156"/>
        </w:numPr>
      </w:pPr>
      <w:r>
        <w:t xml:space="preserve">Consider consultants or contractors with hybrid backgrounds</w:t>
      </w:r>
    </w:p>
    <w:bookmarkEnd w:id="489"/>
    <w:bookmarkStart w:id="490"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57"/>
        </w:numPr>
      </w:pPr>
      <w:r>
        <w:t xml:space="preserve">Regular brown-bag sessions where IT and PH staff present to each other</w:t>
      </w:r>
    </w:p>
    <w:p>
      <w:pPr>
        <w:pStyle w:val="Compact"/>
        <w:numPr>
          <w:ilvl w:val="0"/>
          <w:numId w:val="1157"/>
        </w:numPr>
      </w:pPr>
      <w:r>
        <w:t xml:space="preserve">Shared Slack/Teams channels for quick translation questions</w:t>
      </w:r>
    </w:p>
    <w:p>
      <w:pPr>
        <w:pStyle w:val="Compact"/>
        <w:numPr>
          <w:ilvl w:val="0"/>
          <w:numId w:val="1157"/>
        </w:numPr>
      </w:pPr>
      <w:r>
        <w:t xml:space="preserve">Joint retrospectives that surface communication challenges</w:t>
      </w:r>
    </w:p>
    <w:p>
      <w:pPr>
        <w:pStyle w:val="Compact"/>
        <w:numPr>
          <w:ilvl w:val="0"/>
          <w:numId w:val="1157"/>
        </w:numPr>
      </w:pPr>
      <w:r>
        <w:t xml:space="preserve">Rotating assignments that expose staff to the other domain</w:t>
      </w:r>
    </w:p>
    <w:bookmarkEnd w:id="490"/>
    <w:bookmarkEnd w:id="491"/>
    <w:bookmarkStart w:id="496"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492"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492"/>
    <w:bookmarkStart w:id="493"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493"/>
    <w:bookmarkStart w:id="494"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494"/>
    <w:bookmarkStart w:id="495"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495"/>
    <w:bookmarkEnd w:id="496"/>
    <w:bookmarkStart w:id="500" w:name="career-pathways"/>
    <w:p>
      <w:pPr>
        <w:pStyle w:val="Heading3"/>
      </w:pPr>
      <w:r>
        <w:t xml:space="preserve">Career Pathways</w:t>
      </w:r>
    </w:p>
    <w:p>
      <w:pPr>
        <w:pStyle w:val="FirstParagraph"/>
      </w:pPr>
      <w:r>
        <w:t xml:space="preserve">For professionals seeking to develop hybrid capabilities, several pathways exist:</w:t>
      </w:r>
    </w:p>
    <w:bookmarkStart w:id="497" w:name="from-public-health-to-hybrid"/>
    <w:p>
      <w:pPr>
        <w:pStyle w:val="Heading4"/>
      </w:pPr>
      <w:r>
        <w:t xml:space="preserve">From Public Health to Hybrid</w:t>
      </w:r>
    </w:p>
    <w:p>
      <w:pPr>
        <w:pStyle w:val="Compact"/>
        <w:numPr>
          <w:ilvl w:val="0"/>
          <w:numId w:val="1158"/>
        </w:numPr>
      </w:pPr>
      <w:r>
        <w:t xml:space="preserve">Seek projects involving health IT systems (surveillance, registries, EHRs)</w:t>
      </w:r>
    </w:p>
    <w:p>
      <w:pPr>
        <w:pStyle w:val="Compact"/>
        <w:numPr>
          <w:ilvl w:val="0"/>
          <w:numId w:val="1158"/>
        </w:numPr>
      </w:pPr>
      <w:r>
        <w:t xml:space="preserve">Request assignment to vendor-managed implementations</w:t>
      </w:r>
    </w:p>
    <w:p>
      <w:pPr>
        <w:pStyle w:val="Compact"/>
        <w:numPr>
          <w:ilvl w:val="0"/>
          <w:numId w:val="1158"/>
        </w:numPr>
      </w:pPr>
      <w:r>
        <w:t xml:space="preserve">Pursue CAHIMS or similar health IT certification</w:t>
      </w:r>
    </w:p>
    <w:p>
      <w:pPr>
        <w:pStyle w:val="Compact"/>
        <w:numPr>
          <w:ilvl w:val="0"/>
          <w:numId w:val="1158"/>
        </w:numPr>
      </w:pPr>
      <w:r>
        <w:t xml:space="preserve">Take online courses in Agile, requirements engineering, or project management</w:t>
      </w:r>
    </w:p>
    <w:p>
      <w:pPr>
        <w:pStyle w:val="Compact"/>
        <w:numPr>
          <w:ilvl w:val="0"/>
          <w:numId w:val="1158"/>
        </w:numPr>
      </w:pPr>
      <w:r>
        <w:t xml:space="preserve">Join AMIA or similar professional communities</w:t>
      </w:r>
    </w:p>
    <w:bookmarkEnd w:id="497"/>
    <w:bookmarkStart w:id="498" w:name="from-business-analysis-to-hybrid"/>
    <w:p>
      <w:pPr>
        <w:pStyle w:val="Heading4"/>
      </w:pPr>
      <w:r>
        <w:t xml:space="preserve">From Business Analysis to Hybrid</w:t>
      </w:r>
    </w:p>
    <w:p>
      <w:pPr>
        <w:pStyle w:val="Compact"/>
        <w:numPr>
          <w:ilvl w:val="0"/>
          <w:numId w:val="1159"/>
        </w:numPr>
      </w:pPr>
      <w:r>
        <w:t xml:space="preserve">Seek health sector clients or employers</w:t>
      </w:r>
    </w:p>
    <w:p>
      <w:pPr>
        <w:pStyle w:val="Compact"/>
        <w:numPr>
          <w:ilvl w:val="0"/>
          <w:numId w:val="1159"/>
        </w:numPr>
      </w:pPr>
      <w:r>
        <w:t xml:space="preserve">Learn public health fundamentals (CDC TRAIN offers free courses)</w:t>
      </w:r>
    </w:p>
    <w:p>
      <w:pPr>
        <w:pStyle w:val="Compact"/>
        <w:numPr>
          <w:ilvl w:val="0"/>
          <w:numId w:val="1159"/>
        </w:numPr>
      </w:pPr>
      <w:r>
        <w:t xml:space="preserve">Study regulatory context (HIPAA, CDC reporting requirements)</w:t>
      </w:r>
    </w:p>
    <w:p>
      <w:pPr>
        <w:pStyle w:val="Compact"/>
        <w:numPr>
          <w:ilvl w:val="0"/>
          <w:numId w:val="1159"/>
        </w:numPr>
      </w:pPr>
      <w:r>
        <w:t xml:space="preserve">Understand grant-driven funding cycles and constraints</w:t>
      </w:r>
    </w:p>
    <w:p>
      <w:pPr>
        <w:pStyle w:val="Compact"/>
        <w:numPr>
          <w:ilvl w:val="0"/>
          <w:numId w:val="1159"/>
        </w:numPr>
      </w:pPr>
      <w:r>
        <w:t xml:space="preserve">Develop cultural competency for community engagement</w:t>
      </w:r>
    </w:p>
    <w:bookmarkEnd w:id="498"/>
    <w:bookmarkStart w:id="499" w:name="academic-pathways"/>
    <w:p>
      <w:pPr>
        <w:pStyle w:val="Heading4"/>
      </w:pPr>
      <w:r>
        <w:t xml:space="preserve">Academic Pathways</w:t>
      </w:r>
    </w:p>
    <w:p>
      <w:pPr>
        <w:pStyle w:val="Compact"/>
        <w:numPr>
          <w:ilvl w:val="0"/>
          <w:numId w:val="1160"/>
        </w:numPr>
      </w:pPr>
      <w:r>
        <w:rPr>
          <w:b/>
          <w:bCs/>
        </w:rPr>
        <w:t xml:space="preserve">Dual degrees</w:t>
      </w:r>
      <w:r>
        <w:t xml:space="preserve">: MPH + MBA, MPH + MIS</w:t>
      </w:r>
    </w:p>
    <w:p>
      <w:pPr>
        <w:pStyle w:val="Compact"/>
        <w:numPr>
          <w:ilvl w:val="0"/>
          <w:numId w:val="1160"/>
        </w:numPr>
      </w:pPr>
      <w:r>
        <w:rPr>
          <w:b/>
          <w:bCs/>
        </w:rPr>
        <w:t xml:space="preserve">Health informatics programs</w:t>
      </w:r>
      <w:r>
        <w:t xml:space="preserve">: Specifically designed for this intersection</w:t>
      </w:r>
    </w:p>
    <w:p>
      <w:pPr>
        <w:pStyle w:val="Compact"/>
        <w:numPr>
          <w:ilvl w:val="0"/>
          <w:numId w:val="1160"/>
        </w:numPr>
      </w:pPr>
      <w:r>
        <w:rPr>
          <w:b/>
          <w:bCs/>
        </w:rPr>
        <w:t xml:space="preserve">Graduate certificates</w:t>
      </w:r>
      <w:r>
        <w:t xml:space="preserve">: Add informatics credentials to existing degrees</w:t>
      </w:r>
    </w:p>
    <w:bookmarkEnd w:id="499"/>
    <w:bookmarkEnd w:id="500"/>
    <w:bookmarkStart w:id="503"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1" name="Picture"/>
                  <a:graphic>
                    <a:graphicData uri="http://schemas.openxmlformats.org/drawingml/2006/picture">
                      <pic:pic>
                        <pic:nvPicPr>
                          <pic:cNvPr descr="C:\Users\andre\AppData\Local\Programs\Quarto\share\formats\docx\tip.png" id="50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03"/>
    <w:bookmarkEnd w:id="504"/>
    <w:bookmarkEnd w:id="505"/>
    <w:bookmarkStart w:id="562" w:name="X12c3a7c4a44fc15bef58bd45961c700cd3019df"/>
    <w:p>
      <w:pPr>
        <w:pStyle w:val="Heading1"/>
      </w:pPr>
      <w:r>
        <w:t xml:space="preserve">Career Navigation for Hybrid Professionals</w:t>
      </w:r>
    </w:p>
    <w:bookmarkStart w:id="508" w:name="X537c245011fc27657b2430211faca46cce386d3"/>
    <w:p>
      <w:pPr>
        <w:pStyle w:val="Heading2"/>
      </w:pPr>
      <w:r>
        <w:t xml:space="preserve">Finding and Landing Roles at the BA/PH Intersection</w:t>
      </w:r>
    </w:p>
    <w:p>
      <w:pPr>
        <w:pStyle w:val="FirstParagraph"/>
      </w:pPr>
      <w:r>
        <w:t xml:space="preserve">The integration of business analysis and public health is not merely a theoretical exercise in framework alignment; it is a burgeoning labor market reality. However, a significant translation gap exists within the workforce ecosystem itself. While the operational need for professionals who can navigate both epidemiological principles and information technology (IT) requirements is acute, the job market often lacks the taxonomy to describe them.</w:t>
      </w:r>
    </w:p>
    <w:p>
      <w:pPr>
        <w:pStyle w:val="BodyText"/>
      </w:pPr>
      <w:r>
        <w:t xml:space="preserve">Human Resources departments, government civil service commissions, and automated Applicant Tracking Systems (ATS) predominantly operate within siloed definitions: a candidate is either a</w:t>
      </w:r>
      <w:r>
        <w:t xml:space="preserve"> </w:t>
      </w:r>
      <w:r>
        <w:t xml:space="preserve">“Health Scientist”</w:t>
      </w:r>
      <w:r>
        <w:t xml:space="preserve"> </w:t>
      </w:r>
      <w:r>
        <w:t xml:space="preserve">or an</w:t>
      </w:r>
      <w:r>
        <w:t xml:space="preserve"> </w:t>
      </w:r>
      <w:r>
        <w:t xml:space="preserve">“IT Specialist,”</w:t>
      </w:r>
      <w:r>
        <w:t xml:space="preserve"> </w:t>
      </w:r>
      <w:r>
        <w:t xml:space="preserve">rarely both. This appendix addresses the</w:t>
      </w:r>
      <w:r>
        <w:t xml:space="preserve"> </w:t>
      </w:r>
      <w:r>
        <w:t xml:space="preserve">“structural invisibility”</w:t>
      </w:r>
      <w:r>
        <w:t xml:space="preserve"> </w:t>
      </w:r>
      <w:r>
        <w:t xml:space="preserve">of the hybrid professional, providing a comprehensive analysis of the employment landscape and practical strategies for navigating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C:\Users\andre\AppData\Local\Programs\Quarto\share\formats\docx\tip.png" id="50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Bridgeframe Workforce Philosophy</w:t>
            </w:r>
          </w:p>
        </w:tc>
      </w:tr>
      <w:tr>
        <w:trPr>
          <w:cantSplit/>
        </w:trPr>
        <w:tc>
          <w:tcPr>
            <w:tcMar>
              <w:top w:w="108" w:type="dxa"/>
              <w:bottom w:w="108" w:type="dxa"/>
            </w:tcMar>
          </w:tcPr>
          <w:p>
            <w:pPr>
              <w:pStyle w:val="BodyText"/>
            </w:pPr>
            <w:pPr>
              <w:spacing w:before="16"/>
            </w:pPr>
            <w:r>
              <w:rPr>
                <w:i/>
                <w:iCs/>
              </w:rPr>
              <w:t xml:space="preserve">Context</w:t>
            </w:r>
            <w:r>
              <w:t xml:space="preserve"> </w:t>
            </w:r>
            <w:r>
              <w:t xml:space="preserve">is the most valuable currency in health IT. Technical skills (SQL, Python, Jira) are commodities that can be learned or contracted out. Domain context, understanding</w:t>
            </w:r>
            <w:r>
              <w:t xml:space="preserve"> </w:t>
            </w:r>
            <w:r>
              <w:rPr>
                <w:i/>
                <w:iCs/>
              </w:rPr>
              <w:t xml:space="preserve">why</w:t>
            </w:r>
            <w:r>
              <w:t xml:space="preserve"> </w:t>
            </w:r>
            <w:r>
              <w:t xml:space="preserve">a disease case definition changes during an outbreak or</w:t>
            </w:r>
            <w:r>
              <w:t xml:space="preserve"> </w:t>
            </w:r>
            <w:r>
              <w:rPr>
                <w:i/>
                <w:iCs/>
              </w:rPr>
              <w:t xml:space="preserve">how</w:t>
            </w:r>
            <w:r>
              <w:t xml:space="preserve"> </w:t>
            </w:r>
            <w:r>
              <w:t xml:space="preserve">a rural clinic workflow differs from an urban hospital, is the scarce resource.</w:t>
            </w:r>
          </w:p>
          <w:p>
            <w:pPr>
              <w:pStyle w:val="BodyText"/>
            </w:pPr>
            <w:pPr>
              <w:spacing w:after="16"/>
            </w:pPr>
            <w:r>
              <w:t xml:space="preserve">The career path for the Bridgeframe professional is rarely linear. It does not always move from</w:t>
            </w:r>
            <w:r>
              <w:t xml:space="preserve"> </w:t>
            </w:r>
            <w:r>
              <w:t xml:space="preserve">“Junior Analyst”</w:t>
            </w:r>
            <w:r>
              <w:t xml:space="preserve"> </w:t>
            </w:r>
            <w:r>
              <w:t xml:space="preserve">to</w:t>
            </w:r>
            <w:r>
              <w:t xml:space="preserve"> </w:t>
            </w:r>
            <w:r>
              <w:t xml:space="preserve">“Senior Analyst.”</w:t>
            </w:r>
            <w:r>
              <w:t xml:space="preserve"> </w:t>
            </w:r>
            <w:r>
              <w:t xml:space="preserve">Instead, it often moves laterally across sectors, accumulating context in one domain to leverage it in another.</w:t>
            </w:r>
          </w:p>
          <w:p/>
        </w:tc>
      </w:tr>
    </w:tbl>
    <w:bookmarkEnd w:id="508"/>
    <w:bookmarkStart w:id="522" w:name="the-landscape-of-opportunity"/>
    <w:p>
      <w:pPr>
        <w:pStyle w:val="Heading2"/>
      </w:pPr>
      <w:r>
        <w:t xml:space="preserve">The Landscape of Opportunity</w:t>
      </w:r>
    </w:p>
    <w:p>
      <w:pPr>
        <w:pStyle w:val="FirstParagraph"/>
      </w:pPr>
      <w:r>
        <w:t xml:space="preserve">Research into the public health workforce reveals a distinct ecosystem of opportunity. The demand for hybrid skills is universal, but the</w:t>
      </w:r>
      <w:r>
        <w:t xml:space="preserve"> </w:t>
      </w:r>
      <w:r>
        <w:rPr>
          <w:i/>
          <w:iCs/>
        </w:rPr>
        <w:t xml:space="preserve">capacity</w:t>
      </w:r>
      <w:r>
        <w:t xml:space="preserve"> </w:t>
      </w:r>
      <w:r>
        <w:t xml:space="preserve">to hire and the</w:t>
      </w:r>
      <w:r>
        <w:t xml:space="preserve"> </w:t>
      </w:r>
      <w:r>
        <w:rPr>
          <w:i/>
          <w:iCs/>
        </w:rPr>
        <w:t xml:space="preserve">language</w:t>
      </w:r>
      <w:r>
        <w:t xml:space="preserve"> </w:t>
      </w:r>
      <w:r>
        <w:t xml:space="preserve">used to describe these roles varies significantly by sector. We can map these sectors onto a</w:t>
      </w:r>
      <w:r>
        <w:t xml:space="preserve"> </w:t>
      </w:r>
      <w:r>
        <w:t xml:space="preserve">“Maturity Model”</w:t>
      </w:r>
      <w:r>
        <w:t xml:space="preserve"> </w:t>
      </w:r>
      <w:r>
        <w:t xml:space="preserve">of hybrid employment.</w:t>
      </w:r>
    </w:p>
    <w:bookmarkStart w:id="512" w:name="X41d8d02c69469c2d5a97744ff861d1698390f7b"/>
    <w:p>
      <w:pPr>
        <w:pStyle w:val="Heading3"/>
      </w:pPr>
      <w:r>
        <w:t xml:space="preserve">The Incubator: Local and Rural Health Departments</w:t>
      </w:r>
    </w:p>
    <w:p>
      <w:pPr>
        <w:pStyle w:val="FirstParagraph"/>
      </w:pPr>
      <w:r>
        <w:t xml:space="preserve">Early-career professionals should consider prioritizing local health organizations (LHOs) in communities with limited access to highly trained workers. These environments, including rural county health departments, tribal health organizations, and small community nonprofits, offer a unique value proposition:</w:t>
      </w:r>
      <w:r>
        <w:t xml:space="preserve"> </w:t>
      </w:r>
      <w:r>
        <w:rPr>
          <w:b/>
          <w:bCs/>
        </w:rPr>
        <w:t xml:space="preserve">necessity-driven hybridization</w:t>
      </w:r>
      <w:r>
        <w:t xml:space="preserve">.</w:t>
      </w:r>
    </w:p>
    <w:bookmarkStart w:id="509" w:name="the-operational-reality"/>
    <w:p>
      <w:pPr>
        <w:pStyle w:val="Heading4"/>
      </w:pPr>
      <w:r>
        <w:t xml:space="preserve">The Operational Reality</w:t>
      </w:r>
    </w:p>
    <w:p>
      <w:pPr>
        <w:pStyle w:val="FirstParagraph"/>
      </w:pPr>
      <w:r>
        <w:t xml:space="preserve">In a large, well-funded state health department, roles are siloed. A</w:t>
      </w:r>
      <w:r>
        <w:t xml:space="preserve"> </w:t>
      </w:r>
      <w:r>
        <w:t xml:space="preserve">“Database Administrator”</w:t>
      </w:r>
      <w:r>
        <w:t xml:space="preserve"> </w:t>
      </w:r>
      <w:r>
        <w:t xml:space="preserve">manages the servers; an</w:t>
      </w:r>
      <w:r>
        <w:t xml:space="preserve"> </w:t>
      </w:r>
      <w:r>
        <w:t xml:space="preserve">“Epidemiologist”</w:t>
      </w:r>
      <w:r>
        <w:t xml:space="preserve"> </w:t>
      </w:r>
      <w:r>
        <w:t xml:space="preserve">analyzes the data; a</w:t>
      </w:r>
      <w:r>
        <w:t xml:space="preserve"> </w:t>
      </w:r>
      <w:r>
        <w:t xml:space="preserve">“Health Educator”</w:t>
      </w:r>
      <w:r>
        <w:t xml:space="preserve"> </w:t>
      </w:r>
      <w:r>
        <w:t xml:space="preserve">creates the charts.</w:t>
      </w:r>
    </w:p>
    <w:p>
      <w:pPr>
        <w:pStyle w:val="BodyText"/>
      </w:pPr>
      <w:r>
        <w:t xml:space="preserve">In a rural county health department serving 20,000 residents, a single employee often performs all three functions. They may troubleshoot the clinic’s label printer in the morning (IT Support), query the state immunization registry at lunch (Data Analysis), and present vaccination rates to the County Board of Health in the evening (Data Visualization).</w:t>
      </w:r>
    </w:p>
    <w:bookmarkEnd w:id="509"/>
    <w:bookmarkStart w:id="510" w:name="strategic-advantages"/>
    <w:p>
      <w:pPr>
        <w:pStyle w:val="Heading4"/>
      </w:pPr>
      <w:r>
        <w:t xml:space="preserve">Strategic Advantages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jc w:val="left"/>
            </w:pPr>
            <w:r>
              <w:t xml:space="preserve">Advantage</w:t>
            </w:r>
          </w:p>
        </w:tc>
        <w:tc>
          <w:tcPr/>
          <w:p>
            <w:pPr>
              <w:pStyle w:val="Compact"/>
              <w:jc w:val="left"/>
            </w:pPr>
            <w:r>
              <w:t xml:space="preserve">Description</w:t>
            </w:r>
          </w:p>
        </w:tc>
      </w:tr>
      <w:tr>
        <w:tc>
          <w:tcPr/>
          <w:p>
            <w:pPr>
              <w:pStyle w:val="Compact"/>
              <w:jc w:val="left"/>
            </w:pPr>
            <w:r>
              <w:rPr>
                <w:b/>
                <w:bCs/>
              </w:rPr>
              <w:t xml:space="preserve">Full-stack experience</w:t>
            </w:r>
          </w:p>
        </w:tc>
        <w:tc>
          <w:tcPr/>
          <w:p>
            <w:pPr>
              <w:pStyle w:val="Compact"/>
              <w:jc w:val="left"/>
            </w:pPr>
            <w:r>
              <w:t xml:space="preserve">Exposure to the entire data lifecycle, from point of collection to point of reporting. This end-to-end visibility provides deep understanding of data provenance and quality issues at the source.</w:t>
            </w:r>
          </w:p>
        </w:tc>
      </w:tr>
      <w:tr>
        <w:tc>
          <w:tcPr/>
          <w:p>
            <w:pPr>
              <w:pStyle w:val="Compact"/>
              <w:jc w:val="left"/>
            </w:pPr>
            <w:r>
              <w:rPr>
                <w:b/>
                <w:bCs/>
              </w:rPr>
              <w:t xml:space="preserve">Rapid decision cycles</w:t>
            </w:r>
          </w:p>
        </w:tc>
        <w:tc>
          <w:tcPr/>
          <w:p>
            <w:pPr>
              <w:pStyle w:val="Compact"/>
              <w:jc w:val="left"/>
            </w:pPr>
            <w:r>
              <w:t xml:space="preserve">Unlike federal agencies where changes take years, local departments often need immediate solutions. An analyst can propose, build, and implement a new tracking tool in a single week.</w:t>
            </w:r>
          </w:p>
        </w:tc>
      </w:tr>
      <w:tr>
        <w:tc>
          <w:tcPr/>
          <w:p>
            <w:pPr>
              <w:pStyle w:val="Compact"/>
              <w:jc w:val="left"/>
            </w:pPr>
            <w:r>
              <w:rPr>
                <w:b/>
                <w:bCs/>
              </w:rPr>
              <w:t xml:space="preserve">High impact</w:t>
            </w:r>
          </w:p>
        </w:tc>
        <w:tc>
          <w:tcPr/>
          <w:p>
            <w:pPr>
              <w:pStyle w:val="Compact"/>
              <w:jc w:val="left"/>
            </w:pPr>
            <w:r>
              <w:t xml:space="preserve">The hybrid professional in this setting is often the only person with advanced data skills, giving them disproportionate influence on agency operations and strategy.</w:t>
            </w:r>
          </w:p>
        </w:tc>
      </w:tr>
    </w:tbl>
    <w:bookmarkEnd w:id="510"/>
    <w:bookmarkStart w:id="511" w:name="navigating-the-challenges"/>
    <w:p>
      <w:pPr>
        <w:pStyle w:val="Heading4"/>
      </w:pPr>
      <w:r>
        <w:t xml:space="preserve">Navigating the Challenges</w:t>
      </w:r>
    </w:p>
    <w:p>
      <w:pPr>
        <w:pStyle w:val="Compact"/>
        <w:numPr>
          <w:ilvl w:val="0"/>
          <w:numId w:val="1161"/>
        </w:numPr>
      </w:pPr>
      <w:r>
        <w:rPr>
          <w:b/>
          <w:bCs/>
        </w:rPr>
        <w:t xml:space="preserve">Title ambiguity</w:t>
      </w:r>
      <w:r>
        <w:t xml:space="preserve">: These roles almost never carry titles like</w:t>
      </w:r>
      <w:r>
        <w:t xml:space="preserve"> </w:t>
      </w:r>
      <w:r>
        <w:t xml:space="preserve">“Informatics Specialist”</w:t>
      </w:r>
      <w:r>
        <w:t xml:space="preserve"> </w:t>
      </w:r>
      <w:r>
        <w:t xml:space="preserve">or</w:t>
      </w:r>
      <w:r>
        <w:t xml:space="preserve"> </w:t>
      </w:r>
      <w:r>
        <w:t xml:space="preserve">“Business Analyst.”</w:t>
      </w:r>
      <w:r>
        <w:t xml:space="preserve"> </w:t>
      </w:r>
      <w:r>
        <w:t xml:space="preserve">Instead, search for titles such as</w:t>
      </w:r>
      <w:r>
        <w:t xml:space="preserve"> </w:t>
      </w:r>
      <w:r>
        <w:rPr>
          <w:i/>
          <w:iCs/>
        </w:rPr>
        <w:t xml:space="preserve">Health Educator</w:t>
      </w:r>
      <w:r>
        <w:t xml:space="preserve">,</w:t>
      </w:r>
      <w:r>
        <w:t xml:space="preserve"> </w:t>
      </w:r>
      <w:r>
        <w:rPr>
          <w:i/>
          <w:iCs/>
        </w:rPr>
        <w:t xml:space="preserve">Emergency Preparedness Coordinator</w:t>
      </w:r>
      <w:r>
        <w:t xml:space="preserve">,</w:t>
      </w:r>
      <w:r>
        <w:t xml:space="preserve"> </w:t>
      </w:r>
      <w:r>
        <w:rPr>
          <w:i/>
          <w:iCs/>
        </w:rPr>
        <w:t xml:space="preserve">Disease Intervention Specialist</w:t>
      </w:r>
      <w:r>
        <w:t xml:space="preserve">, or</w:t>
      </w:r>
      <w:r>
        <w:t xml:space="preserve"> </w:t>
      </w:r>
      <w:r>
        <w:rPr>
          <w:i/>
          <w:iCs/>
        </w:rPr>
        <w:t xml:space="preserve">Program Coordinator</w:t>
      </w:r>
      <w:r>
        <w:t xml:space="preserve">.</w:t>
      </w:r>
    </w:p>
    <w:p>
      <w:pPr>
        <w:pStyle w:val="Compact"/>
        <w:numPr>
          <w:ilvl w:val="0"/>
          <w:numId w:val="1161"/>
        </w:numPr>
      </w:pPr>
      <w:r>
        <w:rPr>
          <w:b/>
          <w:bCs/>
        </w:rPr>
        <w:t xml:space="preserve">Resource constraints</w:t>
      </w:r>
      <w:r>
        <w:t xml:space="preserve">: Salaries are typically lower than in the private sector. Consider this compensation gap as an investment in real-world experience.</w:t>
      </w:r>
    </w:p>
    <w:p>
      <w:pPr>
        <w:pStyle w:val="Compact"/>
        <w:numPr>
          <w:ilvl w:val="0"/>
          <w:numId w:val="1161"/>
        </w:numPr>
      </w:pPr>
      <w:r>
        <w:rPr>
          <w:b/>
          <w:bCs/>
        </w:rPr>
        <w:t xml:space="preserve">Legacy infrastructure</w:t>
      </w:r>
      <w:r>
        <w:t xml:space="preserve">: Be prepared to work with outdated hardware, slow internet connections, and paper-based processes. Learning to design systems within these constraints is a critical skill for any high-level architect.</w:t>
      </w:r>
    </w:p>
    <w:bookmarkEnd w:id="511"/>
    <w:bookmarkEnd w:id="512"/>
    <w:bookmarkStart w:id="515" w:name="Xf0c2823ec4cb12ab6440ac566feed410c5365e5"/>
    <w:p>
      <w:pPr>
        <w:pStyle w:val="Heading3"/>
      </w:pPr>
      <w:r>
        <w:t xml:space="preserve">The Intermediary: State Health Departments and Large Universities</w:t>
      </w:r>
    </w:p>
    <w:p>
      <w:pPr>
        <w:pStyle w:val="FirstParagraph"/>
      </w:pPr>
      <w:r>
        <w:t xml:space="preserve">State-level agencies and large academic institutions act as the</w:t>
      </w:r>
      <w:r>
        <w:t xml:space="preserve"> </w:t>
      </w:r>
      <w:r>
        <w:t xml:space="preserve">“middle layer”</w:t>
      </w:r>
      <w:r>
        <w:t xml:space="preserve"> </w:t>
      </w:r>
      <w:r>
        <w:t xml:space="preserve">of the public health stack, translating federal funding and standards into local implementation.</w:t>
      </w:r>
    </w:p>
    <w:bookmarkStart w:id="513" w:name="state-health-departments"/>
    <w:p>
      <w:pPr>
        <w:pStyle w:val="Heading4"/>
      </w:pPr>
      <w:r>
        <w:t xml:space="preserve">State Health Departments</w:t>
      </w:r>
    </w:p>
    <w:p>
      <w:pPr>
        <w:pStyle w:val="FirstParagraph"/>
      </w:pPr>
      <w:r>
        <w:t xml:space="preserve">State health departments manage the centralized systems of record: the Electronic Disease Surveillance System (EDSS), the Immunization Information System (IIS), and Vital Records. Roles here focus heavily on</w:t>
      </w:r>
      <w:r>
        <w:t xml:space="preserve"> </w:t>
      </w:r>
      <w:r>
        <w:rPr>
          <w:i/>
          <w:iCs/>
        </w:rPr>
        <w:t xml:space="preserve">interoperability</w:t>
      </w:r>
      <w:r>
        <w:t xml:space="preserve"> </w:t>
      </w:r>
      <w:r>
        <w:t xml:space="preserve">and</w:t>
      </w:r>
      <w:r>
        <w:t xml:space="preserve"> </w:t>
      </w:r>
      <w:r>
        <w:rPr>
          <w:i/>
          <w:iCs/>
        </w:rPr>
        <w:t xml:space="preserve">compliance</w:t>
      </w:r>
      <w:r>
        <w:t xml:space="preserve">. The analyst ensures that data flowing from hospitals (via HL7 messages) meets the validation rules required by the CDC.</w:t>
      </w:r>
    </w:p>
    <w:p>
      <w:pPr>
        <w:pStyle w:val="BodyText"/>
      </w:pPr>
      <w:r>
        <w:rPr>
          <w:b/>
          <w:bCs/>
        </w:rPr>
        <w:t xml:space="preserve">Typical titles</w:t>
      </w:r>
      <w:r>
        <w:t xml:space="preserve">:</w:t>
      </w:r>
      <w:r>
        <w:t xml:space="preserve"> </w:t>
      </w:r>
      <w:r>
        <w:rPr>
          <w:i/>
          <w:iCs/>
        </w:rPr>
        <w:t xml:space="preserve">Epidemiologist (Informatics)</w:t>
      </w:r>
      <w:r>
        <w:t xml:space="preserve">,</w:t>
      </w:r>
      <w:r>
        <w:t xml:space="preserve"> </w:t>
      </w:r>
      <w:r>
        <w:rPr>
          <w:i/>
          <w:iCs/>
        </w:rPr>
        <w:t xml:space="preserve">Surveillance System Manager</w:t>
      </w:r>
      <w:r>
        <w:t xml:space="preserve">,</w:t>
      </w:r>
      <w:r>
        <w:t xml:space="preserve"> </w:t>
      </w:r>
      <w:r>
        <w:rPr>
          <w:i/>
          <w:iCs/>
        </w:rPr>
        <w:t xml:space="preserve">Data Modernization Lead</w:t>
      </w:r>
      <w:r>
        <w:t xml:space="preserve">,</w:t>
      </w:r>
      <w:r>
        <w:t xml:space="preserve"> </w:t>
      </w:r>
      <w:r>
        <w:rPr>
          <w:i/>
          <w:iCs/>
        </w:rPr>
        <w:t xml:space="preserve">Interoperability Coordinator</w:t>
      </w:r>
      <w:r>
        <w:t xml:space="preserve">.</w:t>
      </w:r>
    </w:p>
    <w:bookmarkEnd w:id="513"/>
    <w:bookmarkStart w:id="514" w:name="universities-and-academic-centers"/>
    <w:p>
      <w:pPr>
        <w:pStyle w:val="Heading4"/>
      </w:pPr>
      <w:r>
        <w:t xml:space="preserve">Universities and Academic Centers</w:t>
      </w:r>
    </w:p>
    <w:p>
      <w:pPr>
        <w:pStyle w:val="FirstParagraph"/>
      </w:pPr>
      <w:r>
        <w:t xml:space="preserve">Universities are often the engines of research and workforce development. They hire staff to manage large research datasets, coordinate multi-site clinical trials, or evaluate public health programs. Positions often bridge the gap between Principal Investigators (academics) and Data Management Centers (IT).</w:t>
      </w:r>
    </w:p>
    <w:p>
      <w:pPr>
        <w:pStyle w:val="BodyText"/>
      </w:pPr>
      <w:r>
        <w:rPr>
          <w:b/>
          <w:bCs/>
        </w:rPr>
        <w:t xml:space="preserve">Typical titles</w:t>
      </w:r>
      <w:r>
        <w:t xml:space="preserve">:</w:t>
      </w:r>
      <w:r>
        <w:t xml:space="preserve"> </w:t>
      </w:r>
      <w:r>
        <w:rPr>
          <w:i/>
          <w:iCs/>
        </w:rPr>
        <w:t xml:space="preserve">Research Data Manager</w:t>
      </w:r>
      <w:r>
        <w:t xml:space="preserve">,</w:t>
      </w:r>
      <w:r>
        <w:t xml:space="preserve"> </w:t>
      </w:r>
      <w:r>
        <w:rPr>
          <w:i/>
          <w:iCs/>
        </w:rPr>
        <w:t xml:space="preserve">Center Administrator</w:t>
      </w:r>
      <w:r>
        <w:t xml:space="preserve">,</w:t>
      </w:r>
      <w:r>
        <w:t xml:space="preserve"> </w:t>
      </w:r>
      <w:r>
        <w:rPr>
          <w:i/>
          <w:iCs/>
        </w:rPr>
        <w:t xml:space="preserve">Project Coordinator</w:t>
      </w:r>
      <w:r>
        <w:t xml:space="preserve">.</w:t>
      </w:r>
    </w:p>
    <w:bookmarkEnd w:id="514"/>
    <w:bookmarkEnd w:id="515"/>
    <w:bookmarkStart w:id="518" w:name="X33885baaec359589f95657b8395905ab508c6c2"/>
    <w:p>
      <w:pPr>
        <w:pStyle w:val="Heading3"/>
      </w:pPr>
      <w:r>
        <w:t xml:space="preserve">The Engine: Federal Contractors and Consultancies</w:t>
      </w:r>
    </w:p>
    <w:p>
      <w:pPr>
        <w:pStyle w:val="FirstParagraph"/>
      </w:pPr>
      <w:r>
        <w:t xml:space="preserve">A significant portion of the public health IT workforce is employed not by the government directly, but by the private ecosystem that supports it. Since government agencies often lack the flexibility to hire rapid-response IT teams, they contract this work out to consulting firms.</w:t>
      </w:r>
    </w:p>
    <w:bookmarkStart w:id="516" w:name="large-systems-integrators"/>
    <w:p>
      <w:pPr>
        <w:pStyle w:val="Heading4"/>
      </w:pPr>
      <w:r>
        <w:t xml:space="preserve">Large Systems Integrators</w:t>
      </w:r>
    </w:p>
    <w:p>
      <w:pPr>
        <w:pStyle w:val="FirstParagraph"/>
      </w:pPr>
      <w:r>
        <w:t xml:space="preserve">Firms like Deloitte, Accenture, Booz Allen Hamilton, Leidos, GDIT (General Dynamics), and ICF execute the massive modernization contracts (e.g., CDC’s Data Modernization Initiative).</w:t>
      </w:r>
    </w:p>
    <w:p>
      <w:pPr>
        <w:pStyle w:val="Compact"/>
        <w:numPr>
          <w:ilvl w:val="0"/>
          <w:numId w:val="1162"/>
        </w:numPr>
      </w:pPr>
      <w:r>
        <w:rPr>
          <w:b/>
          <w:bCs/>
        </w:rPr>
        <w:t xml:space="preserve">The culture</w:t>
      </w:r>
      <w:r>
        <w:t xml:space="preserve">: These firms operate with corporate speed. They value</w:t>
      </w:r>
      <w:r>
        <w:t xml:space="preserve"> </w:t>
      </w:r>
      <w:r>
        <w:t xml:space="preserve">“billable”</w:t>
      </w:r>
      <w:r>
        <w:t xml:space="preserve"> </w:t>
      </w:r>
      <w:r>
        <w:t xml:space="preserve">skills: specific experience with platforms (Salesforce, ServiceNow, Azure) combined with the ability to obtain security clearances (Public Trust).</w:t>
      </w:r>
    </w:p>
    <w:p>
      <w:pPr>
        <w:pStyle w:val="Compact"/>
        <w:numPr>
          <w:ilvl w:val="0"/>
          <w:numId w:val="1162"/>
        </w:numPr>
      </w:pPr>
      <w:r>
        <w:rPr>
          <w:b/>
          <w:bCs/>
        </w:rPr>
        <w:t xml:space="preserve">The hybrid value</w:t>
      </w:r>
      <w:r>
        <w:t xml:space="preserve">: These firms need Subject Matter Experts (SMEs) who can sit in a room with CDC scientists, understand the nuance of</w:t>
      </w:r>
      <w:r>
        <w:t xml:space="preserve"> </w:t>
      </w:r>
      <w:r>
        <w:t xml:space="preserve">“hepatitis serology,”</w:t>
      </w:r>
      <w:r>
        <w:t xml:space="preserve"> </w:t>
      </w:r>
      <w:r>
        <w:t xml:space="preserve">and translate it into user stories for software developers.</w:t>
      </w:r>
    </w:p>
    <w:bookmarkEnd w:id="516"/>
    <w:bookmarkStart w:id="517" w:name="niche-public-health-consultancies"/>
    <w:p>
      <w:pPr>
        <w:pStyle w:val="Heading4"/>
      </w:pPr>
      <w:r>
        <w:t xml:space="preserve">Niche Public Health Consultancies</w:t>
      </w:r>
    </w:p>
    <w:p>
      <w:pPr>
        <w:pStyle w:val="FirstParagraph"/>
      </w:pPr>
      <w:r>
        <w:t xml:space="preserve">Specialized boutique firms focus exclusively on the public health domain, often offering a culture more aligned with public health values.</w:t>
      </w:r>
    </w:p>
    <w:p>
      <w:pPr>
        <w:pStyle w:val="BodyText"/>
      </w:pPr>
      <w:r>
        <w:rPr>
          <w:b/>
          <w:bCs/>
        </w:rPr>
        <w:t xml:space="preserve">Key players</w:t>
      </w:r>
      <w:r>
        <w:t xml:space="preserve">: J Michael Consulting, Berry Technology Solutions, Lantana Consulting Group (standards focus), Public Health Informatics Institute (PHII, a nonprofit/consultancy hybrid).</w:t>
      </w:r>
    </w:p>
    <w:p>
      <w:pPr>
        <w:pStyle w:val="BodyText"/>
      </w:pPr>
      <w:r>
        <w:t xml:space="preserve">These firms often handle the</w:t>
      </w:r>
      <w:r>
        <w:t xml:space="preserve"> </w:t>
      </w:r>
      <w:r>
        <w:t xml:space="preserve">“high-touch”</w:t>
      </w:r>
      <w:r>
        <w:t xml:space="preserve"> </w:t>
      </w:r>
      <w:r>
        <w:t xml:space="preserve">aspects of informatics: training, technical assistance to states, and standards development (HL7/FHIR implementation guides).</w:t>
      </w:r>
    </w:p>
    <w:bookmarkEnd w:id="517"/>
    <w:bookmarkEnd w:id="518"/>
    <w:bookmarkStart w:id="521" w:name="Xf4c3dec32f33fbe72cf5a03141e3ea787b13a52"/>
    <w:p>
      <w:pPr>
        <w:pStyle w:val="Heading3"/>
      </w:pPr>
      <w:r>
        <w:t xml:space="preserve">The Infrastructure: EHR Vendors and Retail Health</w:t>
      </w:r>
    </w:p>
    <w:p>
      <w:pPr>
        <w:pStyle w:val="FirstParagraph"/>
      </w:pPr>
      <w:r>
        <w:t xml:space="preserve">Private sector entities that</w:t>
      </w:r>
      <w:r>
        <w:t xml:space="preserve"> </w:t>
      </w:r>
      <w:r>
        <w:rPr>
          <w:i/>
          <w:iCs/>
        </w:rPr>
        <w:t xml:space="preserve">generate</w:t>
      </w:r>
      <w:r>
        <w:t xml:space="preserve"> </w:t>
      </w:r>
      <w:r>
        <w:t xml:space="preserve">clinical data are increasingly hiring public health experts to ensure their products remain relevant and compliant.</w:t>
      </w:r>
    </w:p>
    <w:bookmarkStart w:id="519" w:name="electronic-health-record-vendors"/>
    <w:p>
      <w:pPr>
        <w:pStyle w:val="Heading4"/>
      </w:pPr>
      <w:r>
        <w:t xml:space="preserve">Electronic Health Record Vendors</w:t>
      </w:r>
    </w:p>
    <w:p>
      <w:pPr>
        <w:pStyle w:val="FirstParagraph"/>
      </w:pPr>
      <w:r>
        <w:t xml:space="preserve">Companies like Epic, Oracle Health (Cerner), MEDITECH, and athenahealth need professionals who understand the regulatory landscape. Federal regulations (like</w:t>
      </w:r>
      <w:r>
        <w:t xml:space="preserve"> </w:t>
      </w:r>
      <w:r>
        <w:t xml:space="preserve">“Promoting Interoperability”</w:t>
      </w:r>
      <w:r>
        <w:t xml:space="preserve">) mandate that EHRs must be able to send data to public health agencies.</w:t>
      </w:r>
    </w:p>
    <w:p>
      <w:pPr>
        <w:pStyle w:val="BodyText"/>
      </w:pPr>
      <w:r>
        <w:rPr>
          <w:b/>
          <w:bCs/>
        </w:rPr>
        <w:t xml:space="preserve">Typical titles</w:t>
      </w:r>
      <w:r>
        <w:t xml:space="preserve">:</w:t>
      </w:r>
      <w:r>
        <w:t xml:space="preserve"> </w:t>
      </w:r>
      <w:r>
        <w:rPr>
          <w:i/>
          <w:iCs/>
        </w:rPr>
        <w:t xml:space="preserve">Implementation Consultant</w:t>
      </w:r>
      <w:r>
        <w:t xml:space="preserve">,</w:t>
      </w:r>
      <w:r>
        <w:t xml:space="preserve"> </w:t>
      </w:r>
      <w:r>
        <w:rPr>
          <w:i/>
          <w:iCs/>
        </w:rPr>
        <w:t xml:space="preserve">Regulatory Affairs Analyst</w:t>
      </w:r>
      <w:r>
        <w:t xml:space="preserve">,</w:t>
      </w:r>
      <w:r>
        <w:t xml:space="preserve"> </w:t>
      </w:r>
      <w:r>
        <w:rPr>
          <w:i/>
          <w:iCs/>
        </w:rPr>
        <w:t xml:space="preserve">Public Health Liaison</w:t>
      </w:r>
      <w:r>
        <w:t xml:space="preserve">.</w:t>
      </w:r>
    </w:p>
    <w:bookmarkEnd w:id="519"/>
    <w:bookmarkStart w:id="520" w:name="national-pharmacy-chains"/>
    <w:p>
      <w:pPr>
        <w:pStyle w:val="Heading4"/>
      </w:pPr>
      <w:r>
        <w:t xml:space="preserve">National Pharmacy Chains</w:t>
      </w:r>
    </w:p>
    <w:p>
      <w:pPr>
        <w:pStyle w:val="FirstParagraph"/>
      </w:pPr>
      <w:r>
        <w:t xml:space="preserve">Retail health giants like CVS Health, Walgreens, and Rite Aid have transformed into primary care and public health hubs. Since the COVID-19 pandemic, pharmacies generate massive volumes of immunization and testing data. These companies recruit informatics professionals to manage complex data flows between thousands of retail locations and fifty distinct state immunization registries.</w:t>
      </w:r>
    </w:p>
    <w:p>
      <w:pPr>
        <w:pStyle w:val="BodyText"/>
      </w:pPr>
      <w:r>
        <w:rPr>
          <w:b/>
          <w:bCs/>
        </w:rPr>
        <w:t xml:space="preserve">Focus areas</w:t>
      </w:r>
      <w:r>
        <w:t xml:space="preserve">: Population health analytics, medication adherence tracking, interoperability management.</w:t>
      </w:r>
    </w:p>
    <w:bookmarkEnd w:id="520"/>
    <w:bookmarkEnd w:id="521"/>
    <w:bookmarkEnd w:id="522"/>
    <w:bookmarkStart w:id="533" w:name="the-rfp-search-strategy"/>
    <w:p>
      <w:pPr>
        <w:pStyle w:val="Heading2"/>
      </w:pPr>
      <w:r>
        <w:t xml:space="preserve">The RFP Search Strategy</w:t>
      </w:r>
    </w:p>
    <w:p>
      <w:pPr>
        <w:pStyle w:val="FirstParagraph"/>
      </w:pPr>
      <w:r>
        <w:t xml:space="preserve">Standard job searching is</w:t>
      </w:r>
      <w:r>
        <w:t xml:space="preserve"> </w:t>
      </w:r>
      <w:r>
        <w:rPr>
          <w:i/>
          <w:iCs/>
        </w:rPr>
        <w:t xml:space="preserve">reactive</w:t>
      </w:r>
      <w:r>
        <w:t xml:space="preserve">: a candidate waits for a job description to be posted and then applies. The Bridgeframe strategy is</w:t>
      </w:r>
      <w:r>
        <w:t xml:space="preserve"> </w:t>
      </w:r>
      <w:r>
        <w:rPr>
          <w:i/>
          <w:iCs/>
        </w:rPr>
        <w:t xml:space="preserve">proactive</w:t>
      </w:r>
      <w:r>
        <w:t xml:space="preserve">: it analyzes the</w:t>
      </w:r>
      <w:r>
        <w:t xml:space="preserve"> </w:t>
      </w:r>
      <w:r>
        <w:rPr>
          <w:b/>
          <w:bCs/>
        </w:rPr>
        <w:t xml:space="preserve">business drivers</w:t>
      </w:r>
      <w:r>
        <w:t xml:space="preserve"> </w:t>
      </w:r>
      <w:r>
        <w:t xml:space="preserve">of hiring to identify opportunities before they are advertised.</w:t>
      </w:r>
    </w:p>
    <w:p>
      <w:pPr>
        <w:pStyle w:val="BodyText"/>
      </w:pPr>
      <w:r>
        <w:t xml:space="preserve">In the public sector, jobs are downstream of</w:t>
      </w:r>
      <w:r>
        <w:t xml:space="preserve"> </w:t>
      </w:r>
      <w:r>
        <w:rPr>
          <w:b/>
          <w:bCs/>
        </w:rPr>
        <w:t xml:space="preserve">projects</w:t>
      </w:r>
      <w:r>
        <w:t xml:space="preserve">, and projects are downstream of</w:t>
      </w:r>
      <w:r>
        <w:t xml:space="preserve"> </w:t>
      </w:r>
      <w:r>
        <w:rPr>
          <w:b/>
          <w:bCs/>
        </w:rPr>
        <w:t xml:space="preserve">funding</w:t>
      </w:r>
      <w:r>
        <w:t xml:space="preserve">. Before a job description can be posted, an agency must secure a budget and usually hire a vendor to execute the work. This procurement process leaves a public paper trail that savvy job seekers can follow.</w:t>
      </w:r>
    </w:p>
    <w:p>
      <w:pPr>
        <w:pStyle w:val="BodyText"/>
      </w:pPr>
      <w:r>
        <w:t xml:space="preserve">The central document in this trail is the</w:t>
      </w:r>
      <w:r>
        <w:t xml:space="preserve"> </w:t>
      </w:r>
      <w:r>
        <w:rPr>
          <w:b/>
          <w:bCs/>
        </w:rPr>
        <w:t xml:space="preserve">Request for Proposal (RFP)</w:t>
      </w:r>
      <w:r>
        <w:t xml:space="preserve">.</w:t>
      </w:r>
    </w:p>
    <w:bookmarkStart w:id="523" w:name="Xfd4653300545bc8f03d6aa1eae7b61cf3f903d1"/>
    <w:p>
      <w:pPr>
        <w:pStyle w:val="Heading3"/>
      </w:pPr>
      <w:r>
        <w:t xml:space="preserve">The Logic of Procurement-Based Job Searching</w:t>
      </w:r>
    </w:p>
    <w:p>
      <w:pPr>
        <w:pStyle w:val="FirstParagraph"/>
      </w:pPr>
      <w:r>
        <w:t xml:space="preserve">When a government agency needs to modernize a system (like the CancerSurv registry), they rarely build it in-house. Instead, they release an RFP to hire a private vendor. This document contains three critical pieces of intelligence: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jc w:val="left"/>
            </w:pPr>
            <w:r>
              <w:t xml:space="preserve">Component</w:t>
            </w:r>
          </w:p>
        </w:tc>
        <w:tc>
          <w:tcPr/>
          <w:p>
            <w:pPr>
              <w:pStyle w:val="Compact"/>
              <w:jc w:val="left"/>
            </w:pPr>
            <w:r>
              <w:t xml:space="preserve">What It Tells You</w:t>
            </w:r>
          </w:p>
        </w:tc>
      </w:tr>
      <w:tr>
        <w:tc>
          <w:tcPr/>
          <w:p>
            <w:pPr>
              <w:pStyle w:val="Compact"/>
              <w:jc w:val="left"/>
            </w:pPr>
            <w:r>
              <w:rPr>
                <w:b/>
                <w:bCs/>
              </w:rPr>
              <w:t xml:space="preserve">Problem Statement</w:t>
            </w:r>
          </w:p>
        </w:tc>
        <w:tc>
          <w:tcPr/>
          <w:p>
            <w:pPr>
              <w:pStyle w:val="Compact"/>
              <w:jc w:val="left"/>
            </w:pPr>
            <w:r>
              <w:t xml:space="preserve">Describes exactly what is broken (e.g.,</w:t>
            </w:r>
            <w:r>
              <w:t xml:space="preserve"> </w:t>
            </w:r>
            <w:r>
              <w:t xml:space="preserve">“Legacy mainframe cannot accept HL7 2.5.1 messages”</w:t>
            </w:r>
            <w:r>
              <w:t xml:space="preserve">)</w:t>
            </w:r>
          </w:p>
        </w:tc>
      </w:tr>
      <w:tr>
        <w:tc>
          <w:tcPr/>
          <w:p>
            <w:pPr>
              <w:pStyle w:val="Compact"/>
              <w:jc w:val="left"/>
            </w:pPr>
            <w:r>
              <w:rPr>
                <w:b/>
                <w:bCs/>
              </w:rPr>
              <w:t xml:space="preserve">Solution Requirements</w:t>
            </w:r>
          </w:p>
        </w:tc>
        <w:tc>
          <w:tcPr/>
          <w:p>
            <w:pPr>
              <w:pStyle w:val="Compact"/>
              <w:jc w:val="left"/>
            </w:pPr>
            <w:r>
              <w:t xml:space="preserve">Describes exactly what skills are needed (e.g.,</w:t>
            </w:r>
            <w:r>
              <w:t xml:space="preserve"> </w:t>
            </w:r>
            <w:r>
              <w:t xml:space="preserve">“Vendor must provide data migration, cloud architecture, and training for 500 registrars”</w:t>
            </w:r>
            <w:r>
              <w:t xml:space="preserve">)</w:t>
            </w:r>
          </w:p>
        </w:tc>
      </w:tr>
      <w:tr>
        <w:tc>
          <w:tcPr/>
          <w:p>
            <w:pPr>
              <w:pStyle w:val="Compact"/>
              <w:jc w:val="left"/>
            </w:pPr>
            <w:r>
              <w:rPr>
                <w:b/>
                <w:bCs/>
              </w:rPr>
              <w:t xml:space="preserve">Timeline</w:t>
            </w:r>
          </w:p>
        </w:tc>
        <w:tc>
          <w:tcPr/>
          <w:p>
            <w:pPr>
              <w:pStyle w:val="Compact"/>
              <w:jc w:val="left"/>
            </w:pPr>
            <w:r>
              <w:t xml:space="preserve">Describes when the work (and the hiring) will begin</w:t>
            </w:r>
          </w:p>
        </w:tc>
      </w:tr>
    </w:tbl>
    <w:p>
      <w:pPr>
        <w:pStyle w:val="BodyText"/>
      </w:pPr>
      <w:r>
        <w:rPr>
          <w:b/>
          <w:bCs/>
        </w:rPr>
        <w:t xml:space="preserve">The strategy</w:t>
      </w:r>
      <w:r>
        <w:t xml:space="preserve">:</w:t>
      </w:r>
    </w:p>
    <w:p>
      <w:pPr>
        <w:pStyle w:val="Compact"/>
        <w:numPr>
          <w:ilvl w:val="0"/>
          <w:numId w:val="1163"/>
        </w:numPr>
      </w:pPr>
      <w:r>
        <w:rPr>
          <w:b/>
          <w:bCs/>
        </w:rPr>
        <w:t xml:space="preserve">Finding the RFP = Finding the Demand</w:t>
      </w:r>
      <w:r>
        <w:t xml:space="preserve">: If you find an RFP for</w:t>
      </w:r>
      <w:r>
        <w:t xml:space="preserve"> </w:t>
      </w:r>
      <w:r>
        <w:t xml:space="preserve">“Surveillance System Modernization,”</w:t>
      </w:r>
      <w:r>
        <w:t xml:space="preserve"> </w:t>
      </w:r>
      <w:r>
        <w:t xml:space="preserve">you know that specific high-value skills (Cloud, SQL, Training) are about to be in demand in that geographic area.</w:t>
      </w:r>
    </w:p>
    <w:p>
      <w:pPr>
        <w:pStyle w:val="Compact"/>
        <w:numPr>
          <w:ilvl w:val="0"/>
          <w:numId w:val="1163"/>
        </w:numPr>
      </w:pPr>
      <w:r>
        <w:rPr>
          <w:b/>
          <w:bCs/>
        </w:rPr>
        <w:t xml:space="preserve">Finding the Award Notice = Finding the Employer</w:t>
      </w:r>
      <w:r>
        <w:t xml:space="preserve">: Eventually, the agency announces which vendor won the contract. That vendor has just received a multi-million dollar contract and is legally obligated to staff the project immediately.</w:t>
      </w:r>
    </w:p>
    <w:bookmarkEnd w:id="523"/>
    <w:bookmarkStart w:id="525" w:name="google-boolean-search-operators"/>
    <w:p>
      <w:pPr>
        <w:pStyle w:val="Heading3"/>
      </w:pPr>
      <w:r>
        <w:t xml:space="preserve">Google Boolean Search Operators</w:t>
      </w:r>
    </w:p>
    <w:p>
      <w:pPr>
        <w:pStyle w:val="FirstParagraph"/>
      </w:pPr>
      <w:r>
        <w:t xml:space="preserve">Most RFPs are buried on obscure government procurement portals. However, they are almost always indexed by Google. By using Boolean search operators, you can locate the source documents directly.</w:t>
      </w:r>
    </w:p>
    <w:bookmarkStart w:id="524" w:name="the-master-search-string"/>
    <w:p>
      <w:pPr>
        <w:pStyle w:val="Heading4"/>
      </w:pPr>
      <w:r>
        <w:t xml:space="preserve">The Master Search String</w:t>
      </w:r>
    </w:p>
    <w:p>
      <w:pPr>
        <w:pStyle w:val="SourceCode"/>
      </w:pPr>
      <w:r>
        <w:rPr>
          <w:rStyle w:val="VerbatimChar"/>
        </w:rPr>
        <w:t xml:space="preserve">(RFP OR "Request for Proposal" OR "Request for Applications" OR </w:t>
      </w:r>
      <w:r>
        <w:br/>
      </w:r>
      <w:r>
        <w:rPr>
          <w:rStyle w:val="VerbatimChar"/>
        </w:rPr>
        <w:t xml:space="preserve">"Notice of Funding Opportunity") AND ("Public Health" OR "Epidemiology" </w:t>
      </w:r>
      <w:r>
        <w:br/>
      </w:r>
      <w:r>
        <w:rPr>
          <w:rStyle w:val="VerbatimChar"/>
        </w:rPr>
        <w:t xml:space="preserve">OR "Surveillance" OR "Informatics" OR "Vital Records") AND ("System" </w:t>
      </w:r>
      <w:r>
        <w:br/>
      </w:r>
      <w:r>
        <w:rPr>
          <w:rStyle w:val="VerbatimChar"/>
        </w:rPr>
        <w:t xml:space="preserve">OR "Modernization" OR "Implementation" OR "Software" OR "Data") </w:t>
      </w:r>
      <w:r>
        <w:br/>
      </w:r>
      <w:r>
        <w:rPr>
          <w:rStyle w:val="VerbatimChar"/>
        </w:rPr>
        <w:t xml:space="preserve">filetype:pdf site:.gov</w:t>
      </w:r>
    </w:p>
    <w:p>
      <w:pPr>
        <w:pStyle w:val="FirstParagraph"/>
      </w:pPr>
      <w:r>
        <w:rPr>
          <w:b/>
          <w:bCs/>
        </w:rPr>
        <w:t xml:space="preserve">Deconstructing the operators</w:t>
      </w:r>
      <w:r>
        <w:t xml:space="preserve">:</w:t>
      </w:r>
    </w:p>
    <w:tbl>
      <w:tblPr>
        <w:tblStyle w:val="Table"/>
        <w:tblW w:type="pct" w:w="5000"/>
        <w:tblLayout w:type="fixed"/>
        <w:tblLook w:firstRow="1" w:lastRow="0" w:firstColumn="0" w:lastColumn="0" w:noHBand="0" w:noVBand="0" w:val="0020"/>
      </w:tblPr>
      <w:tblGrid>
        <w:gridCol w:w="5068"/>
        <w:gridCol w:w="2851"/>
      </w:tblGrid>
      <w:tr>
        <w:trPr>
          <w:tblHeader w:val="on"/>
        </w:trPr>
        <w:tc>
          <w:tcPr/>
          <w:p>
            <w:pPr>
              <w:pStyle w:val="Compact"/>
              <w:jc w:val="left"/>
            </w:pPr>
            <w:r>
              <w:t xml:space="preserve">Operator Group</w:t>
            </w:r>
          </w:p>
        </w:tc>
        <w:tc>
          <w:tcPr/>
          <w:p>
            <w:pPr>
              <w:pStyle w:val="Compact"/>
              <w:jc w:val="left"/>
            </w:pPr>
            <w:r>
              <w:t xml:space="preserve">Purpose</w:t>
            </w:r>
          </w:p>
        </w:tc>
      </w:tr>
      <w:tr>
        <w:tc>
          <w:tcPr/>
          <w:p>
            <w:pPr>
              <w:pStyle w:val="Compact"/>
              <w:jc w:val="left"/>
            </w:pPr>
            <w:r>
              <w:rPr>
                <w:b/>
                <w:bCs/>
              </w:rPr>
              <w:t xml:space="preserve">Document type</w:t>
            </w:r>
          </w:p>
        </w:tc>
        <w:tc>
          <w:tcPr/>
          <w:p>
            <w:pPr>
              <w:pStyle w:val="Compact"/>
              <w:jc w:val="left"/>
            </w:pPr>
            <w:r>
              <w:rPr>
                <w:rStyle w:val="VerbatimChar"/>
              </w:rPr>
              <w:t xml:space="preserve">(RFP OR "Request for Proposal"...)</w:t>
            </w:r>
            <w:r>
              <w:t xml:space="preserve"> </w:t>
            </w:r>
            <w:r>
              <w:t xml:space="preserve">casts a wide net for solicitation names</w:t>
            </w:r>
          </w:p>
        </w:tc>
      </w:tr>
      <w:tr>
        <w:tc>
          <w:tcPr/>
          <w:p>
            <w:pPr>
              <w:pStyle w:val="Compact"/>
              <w:jc w:val="left"/>
            </w:pPr>
            <w:r>
              <w:rPr>
                <w:b/>
                <w:bCs/>
              </w:rPr>
              <w:t xml:space="preserve">Domain</w:t>
            </w:r>
          </w:p>
        </w:tc>
        <w:tc>
          <w:tcPr/>
          <w:p>
            <w:pPr>
              <w:pStyle w:val="Compact"/>
              <w:jc w:val="left"/>
            </w:pPr>
            <w:r>
              <w:rPr>
                <w:rStyle w:val="VerbatimChar"/>
              </w:rPr>
              <w:t xml:space="preserve">AND ("Public Health"...)</w:t>
            </w:r>
            <w:r>
              <w:t xml:space="preserve"> </w:t>
            </w:r>
            <w:r>
              <w:t xml:space="preserve">ensures content is relevant to the field</w:t>
            </w:r>
          </w:p>
        </w:tc>
      </w:tr>
      <w:tr>
        <w:tc>
          <w:tcPr/>
          <w:p>
            <w:pPr>
              <w:pStyle w:val="Compact"/>
              <w:jc w:val="left"/>
            </w:pPr>
            <w:r>
              <w:rPr>
                <w:b/>
                <w:bCs/>
              </w:rPr>
              <w:t xml:space="preserve">Activity</w:t>
            </w:r>
          </w:p>
        </w:tc>
        <w:tc>
          <w:tcPr/>
          <w:p>
            <w:pPr>
              <w:pStyle w:val="Compact"/>
              <w:jc w:val="left"/>
            </w:pPr>
            <w:r>
              <w:rPr>
                <w:rStyle w:val="VerbatimChar"/>
              </w:rPr>
              <w:t xml:space="preserve">AND ("System"...)</w:t>
            </w:r>
            <w:r>
              <w:t xml:space="preserve"> </w:t>
            </w:r>
            <w:r>
              <w:t xml:space="preserve">ensures the project has a technical/IT component</w:t>
            </w:r>
          </w:p>
        </w:tc>
      </w:tr>
      <w:tr>
        <w:tc>
          <w:tcPr/>
          <w:p>
            <w:pPr>
              <w:pStyle w:val="Compact"/>
              <w:jc w:val="left"/>
            </w:pPr>
            <w:r>
              <w:rPr>
                <w:b/>
                <w:bCs/>
              </w:rPr>
              <w:t xml:space="preserve">filetype:pdf</w:t>
            </w:r>
          </w:p>
        </w:tc>
        <w:tc>
          <w:tcPr/>
          <w:p>
            <w:pPr>
              <w:pStyle w:val="Compact"/>
              <w:jc w:val="left"/>
            </w:pPr>
            <w:r>
              <w:t xml:space="preserve">Official government RFPs are almost universally PDF documents</w:t>
            </w:r>
          </w:p>
        </w:tc>
      </w:tr>
      <w:tr>
        <w:tc>
          <w:tcPr/>
          <w:p>
            <w:pPr>
              <w:pStyle w:val="Compact"/>
              <w:jc w:val="left"/>
            </w:pPr>
            <w:r>
              <w:rPr>
                <w:b/>
                <w:bCs/>
              </w:rPr>
              <w:t xml:space="preserve">site:.gov</w:t>
            </w:r>
          </w:p>
        </w:tc>
        <w:tc>
          <w:tcPr/>
          <w:p>
            <w:pPr>
              <w:pStyle w:val="Compact"/>
              <w:jc w:val="left"/>
            </w:pPr>
            <w:r>
              <w:t xml:space="preserve">Restricts results to US government domains (federal, state, and local)</w:t>
            </w:r>
          </w:p>
        </w:tc>
      </w:tr>
    </w:tbl>
    <w:bookmarkEnd w:id="524"/>
    <w:bookmarkEnd w:id="525"/>
    <w:bookmarkStart w:id="531" w:name="customizing-your-search"/>
    <w:p>
      <w:pPr>
        <w:pStyle w:val="Heading3"/>
      </w:pPr>
      <w:r>
        <w:t xml:space="preserve">Customizing Your Search</w:t>
      </w:r>
    </w:p>
    <w:bookmarkStart w:id="526" w:name="strategy-a-geographic-targeting"/>
    <w:p>
      <w:pPr>
        <w:pStyle w:val="Heading4"/>
      </w:pPr>
      <w:r>
        <w:t xml:space="preserve">Strategy A: Geographic Targeting</w:t>
      </w:r>
    </w:p>
    <w:p>
      <w:pPr>
        <w:pStyle w:val="FirstParagraph"/>
      </w:pPr>
      <w:r>
        <w:t xml:space="preserve">If you wish to work in a specific state or region, add location keywords:</w:t>
      </w:r>
    </w:p>
    <w:p>
      <w:pPr>
        <w:pStyle w:val="SourceCode"/>
      </w:pPr>
      <w:r>
        <w:rPr>
          <w:rStyle w:val="VerbatimChar"/>
        </w:rPr>
        <w:t xml:space="preserve">...AND ("Texas" OR "TX" OR "Austin")...</w:t>
      </w:r>
    </w:p>
    <w:bookmarkEnd w:id="526"/>
    <w:bookmarkStart w:id="527" w:name="strategy-b-the-winning-vendor-hunt"/>
    <w:p>
      <w:pPr>
        <w:pStyle w:val="Heading4"/>
      </w:pPr>
      <w:r>
        <w:t xml:space="preserve">Strategy B: The Winning Vendor Hunt</w:t>
      </w:r>
    </w:p>
    <w:p>
      <w:pPr>
        <w:pStyle w:val="FirstParagraph"/>
      </w:pPr>
      <w:r>
        <w:t xml:space="preserve">Finding an old RFP is valuable because it leads to the Award Notice. If an RFP was due 3 months ago, the contract has likely just been awarded.</w:t>
      </w:r>
    </w:p>
    <w:p>
      <w:pPr>
        <w:pStyle w:val="SourceCode"/>
      </w:pPr>
      <w:r>
        <w:rPr>
          <w:rStyle w:val="VerbatimChar"/>
        </w:rPr>
        <w:t xml:space="preserve">("Notice of Award" OR "Contract Award" OR "Bid Tabulation" OR </w:t>
      </w:r>
      <w:r>
        <w:br/>
      </w:r>
      <w:r>
        <w:rPr>
          <w:rStyle w:val="VerbatimChar"/>
        </w:rPr>
        <w:t xml:space="preserve">"Intent to Award") AND ("Department of Health" OR "CDC") AND </w:t>
      </w:r>
      <w:r>
        <w:br/>
      </w:r>
      <w:r>
        <w:rPr>
          <w:rStyle w:val="VerbatimChar"/>
        </w:rPr>
        <w:t xml:space="preserve">("IT" OR "Informatics" OR "Data System") 2024..2026</w:t>
      </w:r>
    </w:p>
    <w:p>
      <w:pPr>
        <w:pStyle w:val="FirstParagraph"/>
      </w:pPr>
      <w:r>
        <w:t xml:space="preserve">The</w:t>
      </w:r>
      <w:r>
        <w:t xml:space="preserve"> </w:t>
      </w:r>
      <w:r>
        <w:rPr>
          <w:rStyle w:val="VerbatimChar"/>
        </w:rPr>
        <w:t xml:space="preserve">2024..2026</w:t>
      </w:r>
      <w:r>
        <w:t xml:space="preserve"> </w:t>
      </w:r>
      <w:r>
        <w:t xml:space="preserve">operator (two dots) tells Google to search for numbers within that range, helping identify recent fiscal year awards.</w:t>
      </w:r>
    </w:p>
    <w:bookmarkEnd w:id="527"/>
    <w:bookmarkStart w:id="530" w:name="strategy-c-skill-specific-targeting"/>
    <w:p>
      <w:pPr>
        <w:pStyle w:val="Heading4"/>
      </w:pPr>
      <w:r>
        <w:t xml:space="preserve">Strategy C: Skill-Specific Targeting</w:t>
      </w:r>
    </w:p>
    <w:p>
      <w:pPr>
        <w:pStyle w:val="FirstParagraph"/>
      </w:pPr>
      <w:r>
        <w:t xml:space="preserve">If you have a niche skill (e.g., HL7 FHIR), search for RFPs that specifically require it:</w:t>
      </w:r>
    </w:p>
    <w:p>
      <w:pPr>
        <w:pStyle w:val="SourceCode"/>
      </w:pPr>
      <w:r>
        <w:rPr>
          <w:rStyle w:val="VerbatimChar"/>
        </w:rPr>
        <w:t xml:space="preserve">(RFP OR "Scope of Work") AND "Public Health" AND ("FHIR" OR "HL7" </w:t>
      </w:r>
      <w:r>
        <w:br/>
      </w:r>
      <w:r>
        <w:rPr>
          <w:rStyle w:val="VerbatimChar"/>
        </w:rPr>
        <w:t xml:space="preserve">OR "Interoperability") filetype:pdf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C:\Users\andre\AppData\Local\Programs\Quarto\share\formats\docx\note.png" id="5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The RFP Strategy in Action</w:t>
            </w:r>
          </w:p>
        </w:tc>
      </w:tr>
      <w:tr>
        <w:trPr>
          <w:cantSplit/>
        </w:trPr>
        <w:tc>
          <w:tcPr>
            <w:tcMar>
              <w:top w:w="108" w:type="dxa"/>
              <w:bottom w:w="108" w:type="dxa"/>
            </w:tcMar>
          </w:tcPr>
          <w:p>
            <w:pPr>
              <w:pStyle w:val="BodyText"/>
            </w:pPr>
            <w:pPr>
              <w:spacing w:before="16"/>
            </w:pPr>
            <w:r>
              <w:rPr>
                <w:b/>
                <w:bCs/>
              </w:rPr>
              <w:t xml:space="preserve">The Scenario</w:t>
            </w:r>
            <w:r>
              <w:t xml:space="preserve">: The State Health Department releases an RFP for the</w:t>
            </w:r>
            <w:r>
              <w:t xml:space="preserve"> </w:t>
            </w:r>
            <w:r>
              <w:t xml:space="preserve">“CancerSurv Modernization Project”</w:t>
            </w:r>
            <w:r>
              <w:t xml:space="preserve"> </w:t>
            </w:r>
            <w:r>
              <w:t xml:space="preserve">(RFP #2026-CS-001). The RFP describes a need to</w:t>
            </w:r>
            <w:r>
              <w:t xml:space="preserve"> </w:t>
            </w:r>
            <w:r>
              <w:t xml:space="preserve">“replace a legacy mainframe system with a cloud-based registry compliant with NAACCR standards.”</w:t>
            </w:r>
          </w:p>
          <w:p>
            <w:pPr>
              <w:pStyle w:val="BodyText"/>
            </w:pPr>
            <w:r>
              <w:rPr>
                <w:b/>
                <w:bCs/>
              </w:rPr>
              <w:t xml:space="preserve">The Job Seeker</w:t>
            </w:r>
            <w:r>
              <w:t xml:space="preserve">: Alex is a Business Analyst with SQL skills who wants to transition into public health. Alex runs the Google Boolean search:</w:t>
            </w:r>
          </w:p>
          <w:p>
            <w:pPr>
              <w:pStyle w:val="BodyText"/>
            </w:pPr>
            <w:r>
              <w:rPr>
                <w:rStyle w:val="VerbatimChar"/>
              </w:rPr>
              <w:t xml:space="preserve">("Request for Proposal") AND "Cancer Registry" AND "Modernization" filetype:pdf site:.gov</w:t>
            </w:r>
          </w:p>
          <w:p>
            <w:pPr>
              <w:pStyle w:val="BodyText"/>
            </w:pPr>
            <w:r>
              <w:rPr>
                <w:b/>
                <w:bCs/>
              </w:rPr>
              <w:t xml:space="preserve">The Insight</w:t>
            </w:r>
            <w:r>
              <w:t xml:space="preserve">: Alex finds the RFP and reads the Scope of Work. Section 4.2 states:</w:t>
            </w:r>
            <w:r>
              <w:t xml:space="preserve"> </w:t>
            </w:r>
            <w:r>
              <w:t xml:space="preserve">“Vendor must provide training and change management for 150 hospital registrars.”</w:t>
            </w:r>
            <w:r>
              <w:t xml:space="preserve"> </w:t>
            </w:r>
            <w:r>
              <w:t xml:space="preserve">Alex realizes this is a green flag, as Alex has extensive experience in corporate training.</w:t>
            </w:r>
          </w:p>
          <w:p>
            <w:pPr>
              <w:pStyle w:val="BodyText"/>
            </w:pPr>
            <w:r>
              <w:rPr>
                <w:b/>
                <w:bCs/>
              </w:rPr>
              <w:t xml:space="preserve">The Move</w:t>
            </w:r>
            <w:r>
              <w:t xml:space="preserve">: Alex searches for the award notice:</w:t>
            </w:r>
            <w:r>
              <w:t xml:space="preserve"> </w:t>
            </w:r>
            <w:r>
              <w:rPr>
                <w:rStyle w:val="VerbatimChar"/>
              </w:rPr>
              <w:t xml:space="preserve">("Contract Award" OR "Bid Tabulation") AND "CancerSurv"</w:t>
            </w:r>
            <w:r>
              <w:t xml:space="preserve">. The search reveals that TechHealth Solutions won the bid last month.</w:t>
            </w:r>
          </w:p>
          <w:p>
            <w:pPr>
              <w:pStyle w:val="BodyText"/>
            </w:pPr>
            <w:r>
              <w:t xml:space="preserve">Alex goes to TechHealth’s careers page. There is no</w:t>
            </w:r>
            <w:r>
              <w:t xml:space="preserve"> </w:t>
            </w:r>
            <w:r>
              <w:t xml:space="preserve">“Cancer Registry Trainer”</w:t>
            </w:r>
            <w:r>
              <w:t xml:space="preserve"> </w:t>
            </w:r>
            <w:r>
              <w:t xml:space="preserve">job listed yet. Alex sends a proactive application to the TechHealth hiring manager:</w:t>
            </w:r>
            <w:r>
              <w:t xml:space="preserve"> </w:t>
            </w:r>
            <w:r>
              <w:t xml:space="preserve">“I see TechHealth won the CancerSurv contract. The RFP requires extensive training for 150 registrars. My background in large-scale change management training would allow you to meet that deliverable immediately.”</w:t>
            </w:r>
          </w:p>
          <w:p>
            <w:pPr>
              <w:pStyle w:val="BodyText"/>
            </w:pPr>
            <w:pPr>
              <w:spacing w:after="16"/>
            </w:pPr>
            <w:r>
              <w:rPr>
                <w:b/>
                <w:bCs/>
              </w:rPr>
              <w:t xml:space="preserve">The Result</w:t>
            </w:r>
            <w:r>
              <w:t xml:space="preserve">: TechHealth was indeed worrying about how to staff the training component. Alex is interviewed immediately, bypassing the competitive stack of generic resumes.</w:t>
            </w:r>
          </w:p>
          <w:p/>
        </w:tc>
      </w:tr>
    </w:tbl>
    <w:bookmarkEnd w:id="530"/>
    <w:bookmarkEnd w:id="531"/>
    <w:bookmarkStart w:id="532" w:name="the-blind-application"/>
    <w:p>
      <w:pPr>
        <w:pStyle w:val="Heading3"/>
      </w:pPr>
      <w:r>
        <w:t xml:space="preserve">The Blind Application</w:t>
      </w:r>
    </w:p>
    <w:p>
      <w:pPr>
        <w:pStyle w:val="FirstParagraph"/>
      </w:pPr>
      <w:r>
        <w:t xml:space="preserve">Once you identify a winning vendor, the next step is the proactive application. Even if the vendor has not yet posted job openings, they are likely in the</w:t>
      </w:r>
      <w:r>
        <w:t xml:space="preserve"> </w:t>
      </w:r>
      <w:r>
        <w:t xml:space="preserve">“ramp-up”</w:t>
      </w:r>
      <w:r>
        <w:t xml:space="preserve"> </w:t>
      </w:r>
      <w:r>
        <w:t xml:space="preserve">phase.</w:t>
      </w:r>
    </w:p>
    <w:p>
      <w:pPr>
        <w:pStyle w:val="BodyText"/>
      </w:pPr>
      <w:r>
        <w:rPr>
          <w:b/>
          <w:bCs/>
        </w:rPr>
        <w:t xml:space="preserve">Sample outreach script</w:t>
      </w:r>
      <w:r>
        <w:t xml:space="preserve">:</w:t>
      </w:r>
    </w:p>
    <w:p>
      <w:pPr>
        <w:pStyle w:val="BlockText"/>
      </w:pPr>
      <w:r>
        <w:t xml:space="preserve">“I noticed that [Company Name] was recently awarded the Disease Surveillance Modernization contract. I have reviewed the RFP requirements and see a need for [specific skill]. I have [X] years of experience executing exactly this type of migration for public health agencies and would like to discuss how I can support the new contract.”</w:t>
      </w:r>
    </w:p>
    <w:p>
      <w:pPr>
        <w:pStyle w:val="FirstParagraph"/>
      </w:pPr>
      <w:r>
        <w:t xml:space="preserve">This approach positions you not as a job seeker asking for a favor, but as a solution provider solving an immediate problem for the vendor.</w:t>
      </w:r>
    </w:p>
    <w:bookmarkEnd w:id="532"/>
    <w:bookmarkEnd w:id="533"/>
    <w:bookmarkStart w:id="539" w:name="specialized-job-boards-and-platforms"/>
    <w:p>
      <w:pPr>
        <w:pStyle w:val="Heading2"/>
      </w:pPr>
      <w:r>
        <w:t xml:space="preserve">Specialized Job Boards and Platforms</w:t>
      </w:r>
    </w:p>
    <w:p>
      <w:pPr>
        <w:pStyle w:val="FirstParagraph"/>
      </w:pPr>
      <w:r>
        <w:t xml:space="preserve">While the RFP strategy unearths hidden opportunities, traditional platforms remain a necessary component of a comprehensive search. The hybrid professional must know</w:t>
      </w:r>
      <w:r>
        <w:t xml:space="preserve"> </w:t>
      </w:r>
      <w:r>
        <w:rPr>
          <w:i/>
          <w:iCs/>
        </w:rPr>
        <w:t xml:space="preserve">where</w:t>
      </w:r>
      <w:r>
        <w:t xml:space="preserve"> </w:t>
      </w:r>
      <w:r>
        <w:t xml:space="preserve">to look.</w:t>
      </w:r>
    </w:p>
    <w:bookmarkStart w:id="534" w:name="platform-directory"/>
    <w:p>
      <w:pPr>
        <w:pStyle w:val="Heading3"/>
      </w:pPr>
      <w:r>
        <w:t xml:space="preserve">Platform Directory</w:t>
      </w:r>
    </w:p>
    <w:tbl>
      <w:tblPr>
        <w:tblStyle w:val="Table"/>
        <w:tblW w:type="pct" w:w="5000"/>
        <w:tblLayout w:type="fixed"/>
        <w:tblLook w:firstRow="1" w:lastRow="0" w:firstColumn="0" w:lastColumn="0" w:noHBand="0" w:noVBand="0" w:val="0020"/>
      </w:tblPr>
      <w:tblGrid>
        <w:gridCol w:w="1800"/>
        <w:gridCol w:w="3060"/>
        <w:gridCol w:w="3060"/>
      </w:tblGrid>
      <w:tr>
        <w:trPr>
          <w:tblHeader w:val="on"/>
        </w:trPr>
        <w:tc>
          <w:tcPr/>
          <w:p>
            <w:pPr>
              <w:pStyle w:val="Compact"/>
              <w:jc w:val="left"/>
            </w:pPr>
            <w:r>
              <w:t xml:space="preserve">Platform</w:t>
            </w:r>
          </w:p>
        </w:tc>
        <w:tc>
          <w:tcPr/>
          <w:p>
            <w:pPr>
              <w:pStyle w:val="Compact"/>
              <w:jc w:val="left"/>
            </w:pPr>
            <w:r>
              <w:t xml:space="preserve">Target Audience</w:t>
            </w:r>
          </w:p>
        </w:tc>
        <w:tc>
          <w:tcPr/>
          <w:p>
            <w:pPr>
              <w:pStyle w:val="Compact"/>
              <w:jc w:val="left"/>
            </w:pPr>
            <w:r>
              <w:t xml:space="preserve">Search Strategy</w:t>
            </w:r>
          </w:p>
        </w:tc>
      </w:tr>
      <w:tr>
        <w:tc>
          <w:tcPr/>
          <w:p>
            <w:pPr>
              <w:pStyle w:val="Compact"/>
              <w:jc w:val="left"/>
            </w:pPr>
            <w:r>
              <w:rPr>
                <w:b/>
                <w:bCs/>
              </w:rPr>
              <w:t xml:space="preserve">GovernmentJobs.com</w:t>
            </w:r>
          </w:p>
        </w:tc>
        <w:tc>
          <w:tcPr/>
          <w:p>
            <w:pPr>
              <w:pStyle w:val="Compact"/>
              <w:jc w:val="left"/>
            </w:pPr>
            <w:r>
              <w:t xml:space="preserve">Local/State Government</w:t>
            </w:r>
          </w:p>
        </w:tc>
        <w:tc>
          <w:tcPr/>
          <w:p>
            <w:pPr>
              <w:pStyle w:val="Compact"/>
              <w:jc w:val="left"/>
            </w:pPr>
            <w:r>
              <w:t xml:space="preserve">Search for</w:t>
            </w:r>
            <w:r>
              <w:t xml:space="preserve"> </w:t>
            </w:r>
            <w:r>
              <w:rPr>
                <w:i/>
                <w:iCs/>
              </w:rPr>
              <w:t xml:space="preserve">Program Specialist</w:t>
            </w:r>
            <w:r>
              <w:t xml:space="preserve">,</w:t>
            </w:r>
            <w:r>
              <w:t xml:space="preserve"> </w:t>
            </w:r>
            <w:r>
              <w:rPr>
                <w:i/>
                <w:iCs/>
              </w:rPr>
              <w:t xml:space="preserve">Health Analyst</w:t>
            </w:r>
            <w:r>
              <w:t xml:space="preserve">,</w:t>
            </w:r>
            <w:r>
              <w:t xml:space="preserve"> </w:t>
            </w:r>
            <w:r>
              <w:rPr>
                <w:i/>
                <w:iCs/>
              </w:rPr>
              <w:t xml:space="preserve">Epidemiologist</w:t>
            </w:r>
          </w:p>
        </w:tc>
      </w:tr>
      <w:tr>
        <w:tc>
          <w:tcPr/>
          <w:p>
            <w:pPr>
              <w:pStyle w:val="Compact"/>
              <w:jc w:val="left"/>
            </w:pPr>
            <w:r>
              <w:rPr>
                <w:b/>
                <w:bCs/>
              </w:rPr>
              <w:t xml:space="preserve">USAJobs.gov</w:t>
            </w:r>
          </w:p>
        </w:tc>
        <w:tc>
          <w:tcPr/>
          <w:p>
            <w:pPr>
              <w:pStyle w:val="Compact"/>
              <w:jc w:val="left"/>
            </w:pPr>
            <w:r>
              <w:t xml:space="preserve">Federal Agencies (CDC, CMS, IHS)</w:t>
            </w:r>
          </w:p>
        </w:tc>
        <w:tc>
          <w:tcPr/>
          <w:p>
            <w:pPr>
              <w:pStyle w:val="Compact"/>
              <w:jc w:val="left"/>
            </w:pPr>
            <w:r>
              <w:t xml:space="preserve">Filter for Job Series 0601 (General Health Science), 0685 (Public Health Program Specialist), 2210 (IT Management)</w:t>
            </w:r>
          </w:p>
        </w:tc>
      </w:tr>
      <w:tr>
        <w:tc>
          <w:tcPr/>
          <w:p>
            <w:pPr>
              <w:pStyle w:val="Compact"/>
              <w:jc w:val="left"/>
            </w:pPr>
            <w:r>
              <w:rPr>
                <w:b/>
                <w:bCs/>
              </w:rPr>
              <w:t xml:space="preserve">PublicHealthJobs.org</w:t>
            </w:r>
          </w:p>
        </w:tc>
        <w:tc>
          <w:tcPr/>
          <w:p>
            <w:pPr>
              <w:pStyle w:val="Compact"/>
              <w:jc w:val="left"/>
            </w:pPr>
            <w:r>
              <w:t xml:space="preserve">Academia/Nonprofit (ASPPH)</w:t>
            </w:r>
          </w:p>
        </w:tc>
        <w:tc>
          <w:tcPr/>
          <w:p>
            <w:pPr>
              <w:pStyle w:val="Compact"/>
              <w:jc w:val="left"/>
            </w:pPr>
            <w:r>
              <w:t xml:space="preserve">Excellent for roles at universities and NGOs</w:t>
            </w:r>
          </w:p>
        </w:tc>
      </w:tr>
      <w:tr>
        <w:tc>
          <w:tcPr/>
          <w:p>
            <w:pPr>
              <w:pStyle w:val="Compact"/>
              <w:jc w:val="left"/>
            </w:pPr>
            <w:r>
              <w:rPr>
                <w:b/>
                <w:bCs/>
              </w:rPr>
              <w:t xml:space="preserve">AMIA Career Center</w:t>
            </w:r>
          </w:p>
        </w:tc>
        <w:tc>
          <w:tcPr/>
          <w:p>
            <w:pPr>
              <w:pStyle w:val="Compact"/>
              <w:jc w:val="left"/>
            </w:pPr>
            <w:r>
              <w:t xml:space="preserve">Informatics Professionals</w:t>
            </w:r>
          </w:p>
        </w:tc>
        <w:tc>
          <w:tcPr/>
          <w:p>
            <w:pPr>
              <w:pStyle w:val="Compact"/>
              <w:jc w:val="left"/>
            </w:pPr>
            <w:r>
              <w:t xml:space="preserve">High-quality listings; often requires advanced degrees</w:t>
            </w:r>
          </w:p>
        </w:tc>
      </w:tr>
      <w:tr>
        <w:tc>
          <w:tcPr/>
          <w:p>
            <w:pPr>
              <w:pStyle w:val="Compact"/>
              <w:jc w:val="left"/>
            </w:pPr>
            <w:r>
              <w:rPr>
                <w:b/>
                <w:bCs/>
              </w:rPr>
              <w:t xml:space="preserve">HIMSS JobMine</w:t>
            </w:r>
          </w:p>
        </w:tc>
        <w:tc>
          <w:tcPr/>
          <w:p>
            <w:pPr>
              <w:pStyle w:val="Compact"/>
              <w:jc w:val="left"/>
            </w:pPr>
            <w:r>
              <w:t xml:space="preserve">Health IT/Vendors</w:t>
            </w:r>
          </w:p>
        </w:tc>
        <w:tc>
          <w:tcPr/>
          <w:p>
            <w:pPr>
              <w:pStyle w:val="Compact"/>
              <w:jc w:val="left"/>
            </w:pPr>
            <w:r>
              <w:t xml:space="preserve">Heavily focused on the private sector and hospital IT</w:t>
            </w:r>
          </w:p>
        </w:tc>
      </w:tr>
      <w:tr>
        <w:tc>
          <w:tcPr/>
          <w:p>
            <w:pPr>
              <w:pStyle w:val="Compact"/>
              <w:jc w:val="left"/>
            </w:pPr>
            <w:r>
              <w:rPr>
                <w:b/>
                <w:bCs/>
              </w:rPr>
              <w:t xml:space="preserve">3RNET</w:t>
            </w:r>
          </w:p>
        </w:tc>
        <w:tc>
          <w:tcPr/>
          <w:p>
            <w:pPr>
              <w:pStyle w:val="Compact"/>
              <w:jc w:val="left"/>
            </w:pPr>
            <w:r>
              <w:t xml:space="preserve">Rural/Underserved</w:t>
            </w:r>
          </w:p>
        </w:tc>
        <w:tc>
          <w:tcPr/>
          <w:p>
            <w:pPr>
              <w:pStyle w:val="Compact"/>
              <w:jc w:val="left"/>
            </w:pPr>
            <w:r>
              <w:t xml:space="preserve">National Rural Recruitment and Retention Network; essential for</w:t>
            </w:r>
            <w:r>
              <w:t xml:space="preserve"> </w:t>
            </w:r>
            <w:r>
              <w:t xml:space="preserve">“incubator”</w:t>
            </w:r>
            <w:r>
              <w:t xml:space="preserve"> </w:t>
            </w:r>
            <w:r>
              <w:t xml:space="preserve">roles</w:t>
            </w:r>
          </w:p>
        </w:tc>
      </w:tr>
      <w:tr>
        <w:tc>
          <w:tcPr/>
          <w:p>
            <w:pPr>
              <w:pStyle w:val="Compact"/>
              <w:jc w:val="left"/>
            </w:pPr>
            <w:r>
              <w:rPr>
                <w:b/>
                <w:bCs/>
              </w:rPr>
              <w:t xml:space="preserve">ORISE (Zintellect)</w:t>
            </w:r>
          </w:p>
        </w:tc>
        <w:tc>
          <w:tcPr/>
          <w:p>
            <w:pPr>
              <w:pStyle w:val="Compact"/>
              <w:jc w:val="left"/>
            </w:pPr>
            <w:r>
              <w:t xml:space="preserve">Fellowships/Internships</w:t>
            </w:r>
          </w:p>
        </w:tc>
        <w:tc>
          <w:tcPr/>
          <w:p>
            <w:pPr>
              <w:pStyle w:val="Compact"/>
              <w:jc w:val="left"/>
            </w:pPr>
            <w:r>
              <w:t xml:space="preserve">Primary portal for CDC fellowships, including PHIFP</w:t>
            </w:r>
          </w:p>
        </w:tc>
      </w:tr>
    </w:tbl>
    <w:bookmarkEnd w:id="534"/>
    <w:bookmarkStart w:id="538" w:name="target-employer-watch-list"/>
    <w:p>
      <w:pPr>
        <w:pStyle w:val="Heading3"/>
      </w:pPr>
      <w:r>
        <w:t xml:space="preserve">Target Employer Watch List</w:t>
      </w:r>
    </w:p>
    <w:p>
      <w:pPr>
        <w:pStyle w:val="FirstParagraph"/>
      </w:pPr>
      <w:r>
        <w:t xml:space="preserve">A proactive search involves monitoring specific companies known to hire hybrid talent.</w:t>
      </w:r>
    </w:p>
    <w:bookmarkStart w:id="535" w:name="federal-contractors"/>
    <w:p>
      <w:pPr>
        <w:pStyle w:val="Heading4"/>
      </w:pPr>
      <w:r>
        <w:t xml:space="preserve">Federal Contractors</w:t>
      </w:r>
    </w:p>
    <w:p>
      <w:pPr>
        <w:pStyle w:val="FirstParagraph"/>
      </w:pPr>
      <w:r>
        <w:t xml:space="preserve">These firms are the primary engine of federal health IT employment:</w:t>
      </w:r>
    </w:p>
    <w:p>
      <w:pPr>
        <w:pStyle w:val="Compact"/>
        <w:numPr>
          <w:ilvl w:val="0"/>
          <w:numId w:val="1164"/>
        </w:numPr>
      </w:pPr>
      <w:r>
        <w:t xml:space="preserve">Leidos, GDIT, Booz Allen Hamilton</w:t>
      </w:r>
    </w:p>
    <w:p>
      <w:pPr>
        <w:pStyle w:val="Compact"/>
        <w:numPr>
          <w:ilvl w:val="0"/>
          <w:numId w:val="1164"/>
        </w:numPr>
      </w:pPr>
      <w:r>
        <w:t xml:space="preserve">Deloitte, Accenture Federal Services</w:t>
      </w:r>
    </w:p>
    <w:p>
      <w:pPr>
        <w:pStyle w:val="Compact"/>
        <w:numPr>
          <w:ilvl w:val="0"/>
          <w:numId w:val="1164"/>
        </w:numPr>
      </w:pPr>
      <w:r>
        <w:t xml:space="preserve">ICF, Maximus</w:t>
      </w:r>
    </w:p>
    <w:p>
      <w:pPr>
        <w:pStyle w:val="FirstParagraph"/>
      </w:pPr>
      <w:r>
        <w:rPr>
          <w:b/>
          <w:bCs/>
        </w:rPr>
        <w:t xml:space="preserve">Strategy</w:t>
      </w:r>
      <w:r>
        <w:t xml:space="preserve">: Monitor their</w:t>
      </w:r>
      <w:r>
        <w:t xml:space="preserve"> </w:t>
      </w:r>
      <w:r>
        <w:t xml:space="preserve">“Health”</w:t>
      </w:r>
      <w:r>
        <w:t xml:space="preserve"> </w:t>
      </w:r>
      <w:r>
        <w:t xml:space="preserve">or</w:t>
      </w:r>
      <w:r>
        <w:t xml:space="preserve"> </w:t>
      </w:r>
      <w:r>
        <w:t xml:space="preserve">“Civilian”</w:t>
      </w:r>
      <w:r>
        <w:t xml:space="preserve"> </w:t>
      </w:r>
      <w:r>
        <w:t xml:space="preserve">career pages. Look for keywords like</w:t>
      </w:r>
      <w:r>
        <w:t xml:space="preserve"> </w:t>
      </w:r>
      <w:r>
        <w:t xml:space="preserve">“CDC,”</w:t>
      </w:r>
      <w:r>
        <w:t xml:space="preserve"> </w:t>
      </w:r>
      <w:r>
        <w:t xml:space="preserve">“CMS,”</w:t>
      </w:r>
      <w:r>
        <w:t xml:space="preserve"> </w:t>
      </w:r>
      <w:r>
        <w:t xml:space="preserve">or</w:t>
      </w:r>
      <w:r>
        <w:t xml:space="preserve"> </w:t>
      </w:r>
      <w:r>
        <w:t xml:space="preserve">“Data Modernization.”</w:t>
      </w:r>
    </w:p>
    <w:bookmarkEnd w:id="535"/>
    <w:bookmarkStart w:id="536" w:name="niche-public-health-firms"/>
    <w:p>
      <w:pPr>
        <w:pStyle w:val="Heading4"/>
      </w:pPr>
      <w:r>
        <w:t xml:space="preserve">Niche Public Health Firms</w:t>
      </w:r>
    </w:p>
    <w:p>
      <w:pPr>
        <w:pStyle w:val="FirstParagraph"/>
      </w:pPr>
      <w:r>
        <w:t xml:space="preserve">These smaller firms often offer a more mission-driven culture:</w:t>
      </w:r>
    </w:p>
    <w:p>
      <w:pPr>
        <w:pStyle w:val="Compact"/>
        <w:numPr>
          <w:ilvl w:val="0"/>
          <w:numId w:val="1165"/>
        </w:numPr>
      </w:pPr>
      <w:r>
        <w:t xml:space="preserve">J Michael Consulting, Karna, Goldbelt</w:t>
      </w:r>
    </w:p>
    <w:p>
      <w:pPr>
        <w:pStyle w:val="Compact"/>
        <w:numPr>
          <w:ilvl w:val="0"/>
          <w:numId w:val="1165"/>
        </w:numPr>
      </w:pPr>
      <w:r>
        <w:t xml:space="preserve">Chickasaw Nation Industries, DLH Corp</w:t>
      </w:r>
    </w:p>
    <w:p>
      <w:pPr>
        <w:pStyle w:val="Compact"/>
        <w:numPr>
          <w:ilvl w:val="0"/>
          <w:numId w:val="1165"/>
        </w:numPr>
      </w:pPr>
      <w:r>
        <w:t xml:space="preserve">Abt Associates, JSI (John Snow, Inc.)</w:t>
      </w:r>
    </w:p>
    <w:p>
      <w:pPr>
        <w:pStyle w:val="FirstParagraph"/>
      </w:pPr>
      <w:r>
        <w:rPr>
          <w:b/>
          <w:bCs/>
        </w:rPr>
        <w:t xml:space="preserve">Strategy</w:t>
      </w:r>
      <w:r>
        <w:t xml:space="preserve">: These firms often recruit directly from public health conferences (CSTE, NACCHO). Follow their LinkedIn pages for contract wins.</w:t>
      </w:r>
    </w:p>
    <w:bookmarkEnd w:id="536"/>
    <w:bookmarkStart w:id="537" w:name="ngos-and-nonprofits"/>
    <w:p>
      <w:pPr>
        <w:pStyle w:val="Heading4"/>
      </w:pPr>
      <w:r>
        <w:t xml:space="preserve">NGOs and Nonprofits</w:t>
      </w:r>
    </w:p>
    <w:p>
      <w:pPr>
        <w:pStyle w:val="Compact"/>
        <w:numPr>
          <w:ilvl w:val="0"/>
          <w:numId w:val="1166"/>
        </w:numPr>
      </w:pPr>
      <w:r>
        <w:t xml:space="preserve">Task Force for Global Health (home of PHII)</w:t>
      </w:r>
    </w:p>
    <w:p>
      <w:pPr>
        <w:pStyle w:val="Compact"/>
        <w:numPr>
          <w:ilvl w:val="0"/>
          <w:numId w:val="1166"/>
        </w:numPr>
      </w:pPr>
      <w:r>
        <w:t xml:space="preserve">APHL (Association of Public Health Labs)</w:t>
      </w:r>
    </w:p>
    <w:p>
      <w:pPr>
        <w:pStyle w:val="Compact"/>
        <w:numPr>
          <w:ilvl w:val="0"/>
          <w:numId w:val="1166"/>
        </w:numPr>
      </w:pPr>
      <w:r>
        <w:t xml:space="preserve">ASTHO, NACCHO</w:t>
      </w:r>
    </w:p>
    <w:p>
      <w:pPr>
        <w:pStyle w:val="FirstParagraph"/>
      </w:pPr>
      <w:r>
        <w:rPr>
          <w:b/>
          <w:bCs/>
        </w:rPr>
        <w:t xml:space="preserve">Strategy</w:t>
      </w:r>
      <w:r>
        <w:t xml:space="preserve">: These organizations often manage cooperative agreements with the CDC, functioning similarly to contractors but with a nonprofit structure.</w:t>
      </w:r>
    </w:p>
    <w:bookmarkEnd w:id="537"/>
    <w:bookmarkEnd w:id="538"/>
    <w:bookmarkEnd w:id="539"/>
    <w:bookmarkStart w:id="542" w:name="decoding-job-descriptions"/>
    <w:p>
      <w:pPr>
        <w:pStyle w:val="Heading2"/>
      </w:pPr>
      <w:r>
        <w:t xml:space="preserve">Decoding Job Descriptions</w:t>
      </w:r>
    </w:p>
    <w:p>
      <w:pPr>
        <w:pStyle w:val="FirstParagraph"/>
      </w:pPr>
      <w:r>
        <w:t xml:space="preserve">One of the most significant barriers to entry is the inconsistency of job titles. A</w:t>
      </w:r>
      <w:r>
        <w:t xml:space="preserve"> </w:t>
      </w:r>
      <w:r>
        <w:t xml:space="preserve">“Business Analyst”</w:t>
      </w:r>
      <w:r>
        <w:t xml:space="preserve"> </w:t>
      </w:r>
      <w:r>
        <w:t xml:space="preserve">in a corporate setting might be called a</w:t>
      </w:r>
      <w:r>
        <w:t xml:space="preserve"> </w:t>
      </w:r>
      <w:r>
        <w:t xml:space="preserve">“Public Health Program Specialist II”</w:t>
      </w:r>
      <w:r>
        <w:t xml:space="preserve"> </w:t>
      </w:r>
      <w:r>
        <w:t xml:space="preserve">in a state agency. The hybrid professional must learn to read job descriptions for</w:t>
      </w:r>
      <w:r>
        <w:t xml:space="preserve"> </w:t>
      </w:r>
      <w:r>
        <w:rPr>
          <w:i/>
          <w:iCs/>
        </w:rPr>
        <w:t xml:space="preserve">skills</w:t>
      </w:r>
      <w:r>
        <w:t xml:space="preserve"> </w:t>
      </w:r>
      <w:r>
        <w:t xml:space="preserve">and</w:t>
      </w:r>
      <w:r>
        <w:t xml:space="preserve"> </w:t>
      </w:r>
      <w:r>
        <w:rPr>
          <w:i/>
          <w:iCs/>
        </w:rPr>
        <w:t xml:space="preserve">activities</w:t>
      </w:r>
      <w:r>
        <w:t xml:space="preserve"> </w:t>
      </w:r>
      <w:r>
        <w:t xml:space="preserve">rather than titles.</w:t>
      </w:r>
    </w:p>
    <w:bookmarkStart w:id="540" w:name="title-to-function-mapping"/>
    <w:p>
      <w:pPr>
        <w:pStyle w:val="Heading3"/>
      </w:pPr>
      <w:r>
        <w:t xml:space="preserve">Title-to-Function Mapping</w:t>
      </w:r>
    </w:p>
    <w:tbl>
      <w:tblPr>
        <w:tblStyle w:val="Table"/>
        <w:tblW w:type="pct" w:w="5000"/>
        <w:tblLayout w:type="fixed"/>
        <w:tblLook w:firstRow="1" w:lastRow="0" w:firstColumn="0" w:lastColumn="0" w:noHBand="0" w:noVBand="0" w:val="0020"/>
      </w:tblPr>
      <w:tblGrid>
        <w:gridCol w:w="2233"/>
        <w:gridCol w:w="2843"/>
        <w:gridCol w:w="2843"/>
      </w:tblGrid>
      <w:tr>
        <w:trPr>
          <w:tblHeader w:val="on"/>
        </w:trPr>
        <w:tc>
          <w:tcPr/>
          <w:p>
            <w:pPr>
              <w:pStyle w:val="Compact"/>
              <w:jc w:val="left"/>
            </w:pPr>
            <w:r>
              <w:t xml:space="preserve">If You Want To Do…</w:t>
            </w:r>
          </w:p>
        </w:tc>
        <w:tc>
          <w:tcPr/>
          <w:p>
            <w:pPr>
              <w:pStyle w:val="Compact"/>
              <w:jc w:val="left"/>
            </w:pPr>
            <w:r>
              <w:t xml:space="preserve">Search For These Titles…</w:t>
            </w:r>
          </w:p>
        </w:tc>
        <w:tc>
          <w:tcPr/>
          <w:p>
            <w:pPr>
              <w:pStyle w:val="Compact"/>
              <w:jc w:val="left"/>
            </w:pPr>
            <w:r>
              <w:t xml:space="preserve">Look For These Keywords…</w:t>
            </w:r>
          </w:p>
        </w:tc>
      </w:tr>
      <w:tr>
        <w:tc>
          <w:tcPr/>
          <w:p>
            <w:pPr>
              <w:pStyle w:val="Compact"/>
              <w:jc w:val="left"/>
            </w:pPr>
            <w:r>
              <w:rPr>
                <w:b/>
                <w:bCs/>
              </w:rPr>
              <w:t xml:space="preserve">Business Analysis</w:t>
            </w:r>
          </w:p>
        </w:tc>
        <w:tc>
          <w:tcPr/>
          <w:p>
            <w:pPr>
              <w:pStyle w:val="Compact"/>
              <w:jc w:val="left"/>
            </w:pPr>
            <w:r>
              <w:t xml:space="preserve">Management Analyst, Program Analyst, Operations Coordinator, Product Owner, Systems Analyst</w:t>
            </w:r>
          </w:p>
        </w:tc>
        <w:tc>
          <w:tcPr/>
          <w:p>
            <w:pPr>
              <w:pStyle w:val="Compact"/>
              <w:jc w:val="left"/>
            </w:pPr>
            <w:r>
              <w:t xml:space="preserve">“Requirements gathering,”</w:t>
            </w:r>
            <w:r>
              <w:t xml:space="preserve"> </w:t>
            </w:r>
            <w:r>
              <w:t xml:space="preserve">“Workflow analysis,”</w:t>
            </w:r>
            <w:r>
              <w:t xml:space="preserve"> </w:t>
            </w:r>
            <w:r>
              <w:t xml:space="preserve">“Process improvement,”</w:t>
            </w:r>
            <w:r>
              <w:t xml:space="preserve"> </w:t>
            </w:r>
            <w:r>
              <w:t xml:space="preserve">“Stakeholder liaison,”</w:t>
            </w:r>
            <w:r>
              <w:t xml:space="preserve"> </w:t>
            </w:r>
            <w:r>
              <w:t xml:space="preserve">“User stories,”</w:t>
            </w:r>
            <w:r>
              <w:t xml:space="preserve"> </w:t>
            </w:r>
            <w:r>
              <w:t xml:space="preserve">“SOP development”</w:t>
            </w:r>
          </w:p>
        </w:tc>
      </w:tr>
      <w:tr>
        <w:tc>
          <w:tcPr/>
          <w:p>
            <w:pPr>
              <w:pStyle w:val="Compact"/>
              <w:jc w:val="left"/>
            </w:pPr>
            <w:r>
              <w:rPr>
                <w:b/>
                <w:bCs/>
              </w:rPr>
              <w:t xml:space="preserve">Informatics/Data</w:t>
            </w:r>
          </w:p>
        </w:tc>
        <w:tc>
          <w:tcPr/>
          <w:p>
            <w:pPr>
              <w:pStyle w:val="Compact"/>
              <w:jc w:val="left"/>
            </w:pPr>
            <w:r>
              <w:t xml:space="preserve">Epidemiologist (Data Systems), Health Scientist, Informatics Specialist, Surveillance Coordinator, Data Manager</w:t>
            </w:r>
          </w:p>
        </w:tc>
        <w:tc>
          <w:tcPr/>
          <w:p>
            <w:pPr>
              <w:pStyle w:val="Compact"/>
              <w:jc w:val="left"/>
            </w:pPr>
            <w:r>
              <w:t xml:space="preserve">“HL7,”</w:t>
            </w:r>
            <w:r>
              <w:t xml:space="preserve"> </w:t>
            </w:r>
            <w:r>
              <w:t xml:space="preserve">“ELR”</w:t>
            </w:r>
            <w:r>
              <w:t xml:space="preserve"> </w:t>
            </w:r>
            <w:r>
              <w:t xml:space="preserve">(Electronic Lab Reporting),</w:t>
            </w:r>
            <w:r>
              <w:t xml:space="preserve"> </w:t>
            </w:r>
            <w:r>
              <w:t xml:space="preserve">“Syndromic Surveillance,”</w:t>
            </w:r>
            <w:r>
              <w:t xml:space="preserve"> </w:t>
            </w:r>
            <w:r>
              <w:t xml:space="preserve">“Registry,”</w:t>
            </w:r>
            <w:r>
              <w:t xml:space="preserve"> </w:t>
            </w:r>
            <w:r>
              <w:t xml:space="preserve">“Interoperability,”</w:t>
            </w:r>
            <w:r>
              <w:t xml:space="preserve"> </w:t>
            </w:r>
            <w:r>
              <w:t xml:space="preserve">“FHIR,”</w:t>
            </w:r>
            <w:r>
              <w:t xml:space="preserve"> </w:t>
            </w:r>
            <w:r>
              <w:t xml:space="preserve">“Cleaning data”</w:t>
            </w:r>
          </w:p>
        </w:tc>
      </w:tr>
      <w:tr>
        <w:tc>
          <w:tcPr/>
          <w:p>
            <w:pPr>
              <w:pStyle w:val="Compact"/>
              <w:jc w:val="left"/>
            </w:pPr>
            <w:r>
              <w:rPr>
                <w:b/>
                <w:bCs/>
              </w:rPr>
              <w:t xml:space="preserve">Project Management</w:t>
            </w:r>
          </w:p>
        </w:tc>
        <w:tc>
          <w:tcPr/>
          <w:p>
            <w:pPr>
              <w:pStyle w:val="Compact"/>
              <w:jc w:val="left"/>
            </w:pPr>
            <w:r>
              <w:t xml:space="preserve">Public Health Advisor, Program Manager, Implementation Specialist, Grant Manager</w:t>
            </w:r>
          </w:p>
        </w:tc>
        <w:tc>
          <w:tcPr/>
          <w:p>
            <w:pPr>
              <w:pStyle w:val="Compact"/>
              <w:jc w:val="left"/>
            </w:pPr>
            <w:r>
              <w:t xml:space="preserve">“Agile,”</w:t>
            </w:r>
            <w:r>
              <w:t xml:space="preserve"> </w:t>
            </w:r>
            <w:r>
              <w:t xml:space="preserve">“Scrum,”</w:t>
            </w:r>
            <w:r>
              <w:t xml:space="preserve"> </w:t>
            </w:r>
            <w:r>
              <w:t xml:space="preserve">“Scope management,”</w:t>
            </w:r>
            <w:r>
              <w:t xml:space="preserve"> </w:t>
            </w:r>
            <w:r>
              <w:t xml:space="preserve">“Timeline,”</w:t>
            </w:r>
            <w:r>
              <w:t xml:space="preserve"> </w:t>
            </w:r>
            <w:r>
              <w:t xml:space="preserve">“Vendor management,”</w:t>
            </w:r>
            <w:r>
              <w:t xml:space="preserve"> </w:t>
            </w:r>
            <w:r>
              <w:t xml:space="preserve">“Grant reporting,”</w:t>
            </w:r>
            <w:r>
              <w:t xml:space="preserve"> </w:t>
            </w:r>
            <w:r>
              <w:t xml:space="preserve">“Deliverables”</w:t>
            </w:r>
          </w:p>
        </w:tc>
      </w:tr>
      <w:tr>
        <w:tc>
          <w:tcPr/>
          <w:p>
            <w:pPr>
              <w:pStyle w:val="Compact"/>
              <w:jc w:val="left"/>
            </w:pPr>
            <w:r>
              <w:rPr>
                <w:b/>
                <w:bCs/>
              </w:rPr>
              <w:t xml:space="preserve">Training/Rollout</w:t>
            </w:r>
          </w:p>
        </w:tc>
        <w:tc>
          <w:tcPr/>
          <w:p>
            <w:pPr>
              <w:pStyle w:val="Compact"/>
              <w:jc w:val="left"/>
            </w:pPr>
            <w:r>
              <w:t xml:space="preserve">Technical Assistance (TA) Lead, Onboarding Specialist, Implementation Specialist</w:t>
            </w:r>
          </w:p>
        </w:tc>
        <w:tc>
          <w:tcPr/>
          <w:p>
            <w:pPr>
              <w:pStyle w:val="Compact"/>
              <w:jc w:val="left"/>
            </w:pPr>
            <w:r>
              <w:t xml:space="preserve">“User adoption,”</w:t>
            </w:r>
            <w:r>
              <w:t xml:space="preserve"> </w:t>
            </w:r>
            <w:r>
              <w:t xml:space="preserve">“Go-live,”</w:t>
            </w:r>
            <w:r>
              <w:t xml:space="preserve"> </w:t>
            </w:r>
            <w:r>
              <w:t xml:space="preserve">“Manuals,”</w:t>
            </w:r>
            <w:r>
              <w:t xml:space="preserve"> </w:t>
            </w:r>
            <w:r>
              <w:t xml:space="preserve">“Capacity building,”</w:t>
            </w:r>
            <w:r>
              <w:t xml:space="preserve"> </w:t>
            </w:r>
            <w:r>
              <w:t xml:space="preserve">“Workforce development”</w:t>
            </w:r>
          </w:p>
        </w:tc>
      </w:tr>
    </w:tbl>
    <w:bookmarkEnd w:id="540"/>
    <w:bookmarkStart w:id="541" w:name="the-unicorn-job-description"/>
    <w:p>
      <w:pPr>
        <w:pStyle w:val="Heading3"/>
      </w:pPr>
      <w:r>
        <w:t xml:space="preserve">The</w:t>
      </w:r>
      <w:r>
        <w:t xml:space="preserve"> </w:t>
      </w:r>
      <w:r>
        <w:t xml:space="preserve">“Unicorn”</w:t>
      </w:r>
      <w:r>
        <w:t xml:space="preserve"> </w:t>
      </w:r>
      <w:r>
        <w:t xml:space="preserve">Job Description</w:t>
      </w:r>
    </w:p>
    <w:p>
      <w:pPr>
        <w:pStyle w:val="FirstParagraph"/>
      </w:pPr>
      <w:r>
        <w:t xml:space="preserve">Often, hiring managers in public health know they need</w:t>
      </w:r>
      <w:r>
        <w:t xml:space="preserve"> </w:t>
      </w:r>
      <w:r>
        <w:t xml:space="preserve">“someone technical”</w:t>
      </w:r>
      <w:r>
        <w:t xml:space="preserve"> </w:t>
      </w:r>
      <w:r>
        <w:t xml:space="preserve">but do not know exactly what that entails. This results in the unicorn job description: a posting that asks for a PhD in Epidemiology, a PMP certification, 10 years of Python coding experience, and a nursing license.</w:t>
      </w:r>
    </w:p>
    <w:p>
      <w:pPr>
        <w:pStyle w:val="Compact"/>
        <w:numPr>
          <w:ilvl w:val="0"/>
          <w:numId w:val="1167"/>
        </w:numPr>
      </w:pPr>
      <w:r>
        <w:rPr>
          <w:b/>
          <w:bCs/>
        </w:rPr>
        <w:t xml:space="preserve">The interpretation</w:t>
      </w:r>
      <w:r>
        <w:t xml:space="preserve">: This usually signals a lack of role clarity. The agency has a problem (data) and is listing every possible qualification.</w:t>
      </w:r>
    </w:p>
    <w:p>
      <w:pPr>
        <w:pStyle w:val="Compact"/>
        <w:numPr>
          <w:ilvl w:val="0"/>
          <w:numId w:val="1167"/>
        </w:numPr>
      </w:pPr>
      <w:r>
        <w:rPr>
          <w:b/>
          <w:bCs/>
        </w:rPr>
        <w:t xml:space="preserve">The strategy</w:t>
      </w:r>
      <w:r>
        <w:t xml:space="preserve">: Apply if you meet 50 to 60 percent of the criteria.</w:t>
      </w:r>
    </w:p>
    <w:p>
      <w:pPr>
        <w:pStyle w:val="Compact"/>
        <w:numPr>
          <w:ilvl w:val="0"/>
          <w:numId w:val="1167"/>
        </w:numPr>
      </w:pPr>
      <w:r>
        <w:rPr>
          <w:b/>
          <w:bCs/>
        </w:rPr>
        <w:t xml:space="preserve">The interview pivot</w:t>
      </w:r>
      <w:r>
        <w:t xml:space="preserve">: Use the interview to perform business analysis on the role itself. Ask:</w:t>
      </w:r>
      <w:r>
        <w:t xml:space="preserve"> </w:t>
      </w:r>
      <w:r>
        <w:t xml:space="preserve">“I see you asked for both Python coding and clinical nursing. Is the primary goal of this role to write the code (Python) or to talk to the nurses who use the system? I excel at the translation between the two.”</w:t>
      </w:r>
      <w:r>
        <w:t xml:space="preserve"> </w:t>
      </w:r>
      <w:r>
        <w:t xml:space="preserve">By helping them define the role, you demonstrate your value as a Business Analyst before you are hired.</w:t>
      </w:r>
    </w:p>
    <w:bookmarkEnd w:id="541"/>
    <w:bookmarkEnd w:id="542"/>
    <w:bookmarkStart w:id="549" w:name="resume-and-interview-strategy"/>
    <w:p>
      <w:pPr>
        <w:pStyle w:val="Heading2"/>
      </w:pPr>
      <w:r>
        <w:t xml:space="preserve">Resume and Interview Strategy</w:t>
      </w:r>
    </w:p>
    <w:p>
      <w:pPr>
        <w:pStyle w:val="FirstParagraph"/>
      </w:pPr>
      <w:r>
        <w:t xml:space="preserve">To land the job, you must translate your experience into the language of the employer. This requires a</w:t>
      </w:r>
      <w:r>
        <w:t xml:space="preserve"> </w:t>
      </w:r>
      <w:r>
        <w:t xml:space="preserve">“dual-frame”</w:t>
      </w:r>
      <w:r>
        <w:t xml:space="preserve"> </w:t>
      </w:r>
      <w:r>
        <w:t xml:space="preserve">approach.</w:t>
      </w:r>
    </w:p>
    <w:bookmarkStart w:id="545" w:name="the-hybrid-resume"/>
    <w:p>
      <w:pPr>
        <w:pStyle w:val="Heading3"/>
      </w:pPr>
      <w:r>
        <w:t xml:space="preserve">The Hybrid Resume</w:t>
      </w:r>
    </w:p>
    <w:p>
      <w:pPr>
        <w:pStyle w:val="FirstParagraph"/>
      </w:pPr>
      <w:r>
        <w:t xml:space="preserve">A standard resume is often chronological and mono-lingual (either all tech or all health). A hybrid resume must explicitly bridge the gap.</w:t>
      </w:r>
    </w:p>
    <w:bookmarkStart w:id="543" w:name="strategy-the-translation-bullet-point"/>
    <w:p>
      <w:pPr>
        <w:pStyle w:val="Heading4"/>
      </w:pPr>
      <w:r>
        <w:t xml:space="preserve">Strategy: The Translation Bullet Point</w:t>
      </w:r>
    </w:p>
    <w:p>
      <w:pPr>
        <w:pStyle w:val="FirstParagraph"/>
      </w:pPr>
      <w:r>
        <w:t xml:space="preserve">Rewrite experience to highlight implications for the other domain.</w:t>
      </w:r>
    </w:p>
    <w:p>
      <w:pPr>
        <w:pStyle w:val="BodyText"/>
      </w:pPr>
      <w:r>
        <w:rPr>
          <w:b/>
          <w:bCs/>
        </w:rPr>
        <w:t xml:space="preserve">Public Health professional applying for a Tech/BA role</w:t>
      </w:r>
      <w:r>
        <w:t xml:space="preserve">:</w:t>
      </w:r>
    </w:p>
    <w:p>
      <w:pPr>
        <w:pStyle w:val="Compact"/>
        <w:numPr>
          <w:ilvl w:val="0"/>
          <w:numId w:val="1168"/>
        </w:numPr>
      </w:pPr>
      <w:r>
        <w:t xml:space="preserve">❌</w:t>
      </w:r>
      <w:r>
        <w:t xml:space="preserve"> </w:t>
      </w:r>
      <w:r>
        <w:rPr>
          <w:i/>
          <w:iCs/>
        </w:rPr>
        <w:t xml:space="preserve">Original</w:t>
      </w:r>
      <w:r>
        <w:t xml:space="preserve">:</w:t>
      </w:r>
      <w:r>
        <w:t xml:space="preserve"> </w:t>
      </w:r>
      <w:r>
        <w:t xml:space="preserve">“Managed the Gonorrhea Surveillance Program.”</w:t>
      </w:r>
    </w:p>
    <w:p>
      <w:pPr>
        <w:pStyle w:val="Compact"/>
        <w:numPr>
          <w:ilvl w:val="0"/>
          <w:numId w:val="1168"/>
        </w:numPr>
      </w:pPr>
      <w:r>
        <w:t xml:space="preserve">✅</w:t>
      </w:r>
      <w:r>
        <w:t xml:space="preserve"> </w:t>
      </w:r>
      <w:r>
        <w:rPr>
          <w:i/>
          <w:iCs/>
        </w:rPr>
        <w:t xml:space="preserve">Translated</w:t>
      </w:r>
      <w:r>
        <w:t xml:space="preserve">:</w:t>
      </w:r>
      <w:r>
        <w:t xml:space="preserve"> </w:t>
      </w:r>
      <w:r>
        <w:t xml:space="preserve">“Managed a disease surveillance system with 5,000+ annual records; acted as</w:t>
      </w:r>
      <w:r>
        <w:t xml:space="preserve"> </w:t>
      </w:r>
      <w:r>
        <w:rPr>
          <w:b/>
          <w:bCs/>
        </w:rPr>
        <w:t xml:space="preserve">Product Owner</w:t>
      </w:r>
      <w:r>
        <w:t xml:space="preserve"> </w:t>
      </w:r>
      <w:r>
        <w:t xml:space="preserve">to define reporting requirements for the IT vendor and led</w:t>
      </w:r>
      <w:r>
        <w:t xml:space="preserve"> </w:t>
      </w:r>
      <w:r>
        <w:rPr>
          <w:b/>
          <w:bCs/>
        </w:rPr>
        <w:t xml:space="preserve">User Acceptance Testing (UAT)</w:t>
      </w:r>
      <w:r>
        <w:t xml:space="preserve"> </w:t>
      </w:r>
      <w:r>
        <w:t xml:space="preserve">for system upgrades.”</w:t>
      </w:r>
    </w:p>
    <w:p>
      <w:pPr>
        <w:pStyle w:val="FirstParagraph"/>
      </w:pPr>
      <w:r>
        <w:rPr>
          <w:b/>
          <w:bCs/>
        </w:rPr>
        <w:t xml:space="preserve">Tech/BA professional applying for a Public Health role</w:t>
      </w:r>
      <w:r>
        <w:t xml:space="preserve">:</w:t>
      </w:r>
    </w:p>
    <w:p>
      <w:pPr>
        <w:pStyle w:val="Compact"/>
        <w:numPr>
          <w:ilvl w:val="0"/>
          <w:numId w:val="1169"/>
        </w:numPr>
      </w:pPr>
      <w:r>
        <w:t xml:space="preserve">❌</w:t>
      </w:r>
      <w:r>
        <w:t xml:space="preserve"> </w:t>
      </w:r>
      <w:r>
        <w:rPr>
          <w:i/>
          <w:iCs/>
        </w:rPr>
        <w:t xml:space="preserve">Original</w:t>
      </w:r>
      <w:r>
        <w:t xml:space="preserve">:</w:t>
      </w:r>
      <w:r>
        <w:t xml:space="preserve"> </w:t>
      </w:r>
      <w:r>
        <w:t xml:space="preserve">“Gathered requirements for SQL database migration.”</w:t>
      </w:r>
    </w:p>
    <w:p>
      <w:pPr>
        <w:pStyle w:val="Compact"/>
        <w:numPr>
          <w:ilvl w:val="0"/>
          <w:numId w:val="1169"/>
        </w:numPr>
      </w:pPr>
      <w:r>
        <w:t xml:space="preserve">✅</w:t>
      </w:r>
      <w:r>
        <w:t xml:space="preserve"> </w:t>
      </w:r>
      <w:r>
        <w:rPr>
          <w:i/>
          <w:iCs/>
        </w:rPr>
        <w:t xml:space="preserve">Translated</w:t>
      </w:r>
      <w:r>
        <w:t xml:space="preserve">:</w:t>
      </w:r>
      <w:r>
        <w:t xml:space="preserve"> </w:t>
      </w:r>
      <w:r>
        <w:t xml:space="preserve">“Facilitated workshops with clinical stakeholders to define data standards for a patient registry; ensured system design complied with</w:t>
      </w:r>
      <w:r>
        <w:t xml:space="preserve"> </w:t>
      </w:r>
      <w:r>
        <w:rPr>
          <w:b/>
          <w:bCs/>
        </w:rPr>
        <w:t xml:space="preserve">HIPAA privacy regulations</w:t>
      </w:r>
      <w:r>
        <w:t xml:space="preserve"> </w:t>
      </w:r>
      <w:r>
        <w:t xml:space="preserve">and supported</w:t>
      </w:r>
      <w:r>
        <w:t xml:space="preserve"> </w:t>
      </w:r>
      <w:r>
        <w:rPr>
          <w:b/>
          <w:bCs/>
        </w:rPr>
        <w:t xml:space="preserve">epidemiological reporting</w:t>
      </w:r>
      <w:r>
        <w:t xml:space="preserve"> </w:t>
      </w:r>
      <w:r>
        <w:t xml:space="preserve">needs.”</w:t>
      </w:r>
    </w:p>
    <w:bookmarkEnd w:id="543"/>
    <w:bookmarkStart w:id="544" w:name="Xfc656c690082a285ae7609e8e4e435b137b7663"/>
    <w:p>
      <w:pPr>
        <w:pStyle w:val="Heading4"/>
      </w:pPr>
      <w:r>
        <w:t xml:space="preserve">Strategy: The Dual-Competency Skills Section</w:t>
      </w:r>
    </w:p>
    <w:p>
      <w:pPr>
        <w:pStyle w:val="FirstParagraph"/>
      </w:pPr>
      <w:r>
        <w:t xml:space="preserve">Create a skills section that visually separates but presents both domains:</w:t>
      </w:r>
    </w:p>
    <w:p>
      <w:pPr>
        <w:pStyle w:val="BlockText"/>
      </w:pPr>
      <w:r>
        <w:rPr>
          <w:b/>
          <w:bCs/>
        </w:rPr>
        <w:t xml:space="preserve">Technical &amp; Analysis</w:t>
      </w:r>
      <w:r>
        <w:t xml:space="preserve">: SQL, Tableau, Jira, Visio (BPMN), User Stories, Agile/Scrum</w:t>
      </w:r>
    </w:p>
    <w:p>
      <w:pPr>
        <w:pStyle w:val="BlockText"/>
      </w:pPr>
      <w:r>
        <w:rPr>
          <w:b/>
          <w:bCs/>
        </w:rPr>
        <w:t xml:space="preserve">Public Health &amp; Regulatory</w:t>
      </w:r>
      <w:r>
        <w:t xml:space="preserve">: Epidemiology, Surveillance Systems, HIPAA, HL7/FHIR Standards, CDC Grant Reporting</w:t>
      </w:r>
    </w:p>
    <w:bookmarkEnd w:id="544"/>
    <w:bookmarkEnd w:id="545"/>
    <w:bookmarkStart w:id="547" w:name="the-behavioral-bridge-interview"/>
    <w:p>
      <w:pPr>
        <w:pStyle w:val="Heading3"/>
      </w:pPr>
      <w:r>
        <w:t xml:space="preserve">The Behavioral Bridge Interview</w:t>
      </w:r>
    </w:p>
    <w:p>
      <w:pPr>
        <w:pStyle w:val="FirstParagraph"/>
      </w:pPr>
      <w:r>
        <w:t xml:space="preserve">In an interview, you will often face a panel with mixed backgrounds (e.g., a Program Director and an IT Manager). Your answers must satisfy both.</w:t>
      </w:r>
    </w:p>
    <w:bookmarkStart w:id="546" w:name="the-bridge-answer-structure"/>
    <w:p>
      <w:pPr>
        <w:pStyle w:val="Heading4"/>
      </w:pPr>
      <w:r>
        <w:t xml:space="preserve">The Bridge Answer Structure</w:t>
      </w:r>
    </w:p>
    <w:p>
      <w:pPr>
        <w:pStyle w:val="FirstParagraph"/>
      </w:pPr>
      <w:r>
        <w:t xml:space="preserve">When answering behavioral questions (</w:t>
      </w:r>
      <w:r>
        <w:t xml:space="preserve">“Tell me about a time…”</w:t>
      </w:r>
      <w:r>
        <w:t xml:space="preserve">), the narrative arc should always be about translation.</w:t>
      </w:r>
    </w:p>
    <w:p>
      <w:pPr>
        <w:pStyle w:val="BodyText"/>
      </w:pPr>
      <w:r>
        <w:rPr>
          <w:b/>
          <w:bCs/>
        </w:rPr>
        <w:t xml:space="preserve">Question</w:t>
      </w:r>
      <w:r>
        <w:t xml:space="preserve">:</w:t>
      </w:r>
      <w:r>
        <w:t xml:space="preserve"> </w:t>
      </w:r>
      <w:r>
        <w:t xml:space="preserve">“Tell me about a time you faced a challenge.”</w:t>
      </w:r>
    </w:p>
    <w:p>
      <w:pPr>
        <w:pStyle w:val="BodyText"/>
      </w:pPr>
      <w:r>
        <w:rPr>
          <w:b/>
          <w:bCs/>
        </w:rPr>
        <w:t xml:space="preserve">Bridge Answer</w:t>
      </w:r>
      <w:r>
        <w:t xml:space="preserve">:</w:t>
      </w:r>
    </w:p>
    <w:p>
      <w:pPr>
        <w:pStyle w:val="Compact"/>
        <w:numPr>
          <w:ilvl w:val="0"/>
          <w:numId w:val="1170"/>
        </w:numPr>
      </w:pPr>
      <w:r>
        <w:rPr>
          <w:b/>
          <w:bCs/>
        </w:rPr>
        <w:t xml:space="preserve">Context</w:t>
      </w:r>
      <w:r>
        <w:t xml:space="preserve">:</w:t>
      </w:r>
      <w:r>
        <w:t xml:space="preserve"> </w:t>
      </w:r>
      <w:r>
        <w:t xml:space="preserve">“We had a disconnect where the developers built a feature that did not match the clinical workflow.”</w:t>
      </w:r>
    </w:p>
    <w:p>
      <w:pPr>
        <w:pStyle w:val="Compact"/>
        <w:numPr>
          <w:ilvl w:val="0"/>
          <w:numId w:val="1170"/>
        </w:numPr>
      </w:pPr>
      <w:r>
        <w:rPr>
          <w:b/>
          <w:bCs/>
        </w:rPr>
        <w:t xml:space="preserve">Action</w:t>
      </w:r>
      <w:r>
        <w:t xml:space="preserve">:</w:t>
      </w:r>
      <w:r>
        <w:t xml:space="preserve"> </w:t>
      </w:r>
      <w:r>
        <w:t xml:space="preserve">“I scheduled a joint session where I mapped the clinical process on a whiteboard while the developers watched. I translated clinical terms into technical specifications in real time.”</w:t>
      </w:r>
    </w:p>
    <w:p>
      <w:pPr>
        <w:pStyle w:val="Compact"/>
        <w:numPr>
          <w:ilvl w:val="0"/>
          <w:numId w:val="1170"/>
        </w:numPr>
      </w:pPr>
      <w:r>
        <w:rPr>
          <w:b/>
          <w:bCs/>
        </w:rPr>
        <w:t xml:space="preserve">Result</w:t>
      </w:r>
      <w:r>
        <w:t xml:space="preserve">:</w:t>
      </w:r>
      <w:r>
        <w:t xml:space="preserve"> </w:t>
      </w:r>
      <w:r>
        <w:t xml:space="preserve">“The developers understood the</w:t>
      </w:r>
      <w:r>
        <w:t xml:space="preserve"> </w:t>
      </w:r>
      <w:r>
        <w:t xml:space="preserve">‘why,’</w:t>
      </w:r>
      <w:r>
        <w:t xml:space="preserve"> </w:t>
      </w:r>
      <w:r>
        <w:t xml:space="preserve">the nurses got a tool that fit their process, and we reduced data entry errors by 50%.”</w:t>
      </w:r>
    </w:p>
    <w:bookmarkEnd w:id="546"/>
    <w:bookmarkEnd w:id="547"/>
    <w:bookmarkStart w:id="548" w:name="questions-to-ask-the-employer"/>
    <w:p>
      <w:pPr>
        <w:pStyle w:val="Heading3"/>
      </w:pPr>
      <w:r>
        <w:t xml:space="preserve">Questions to Ask the Employer</w:t>
      </w:r>
    </w:p>
    <w:p>
      <w:pPr>
        <w:pStyle w:val="FirstParagraph"/>
      </w:pPr>
      <w:r>
        <w:t xml:space="preserve">The questions you ask reveal your sophistication regarding the BA/PH gap.</w:t>
      </w:r>
    </w:p>
    <w:p>
      <w:pPr>
        <w:pStyle w:val="Compact"/>
        <w:numPr>
          <w:ilvl w:val="0"/>
          <w:numId w:val="1171"/>
        </w:numPr>
      </w:pPr>
      <w:r>
        <w:rPr>
          <w:b/>
          <w:bCs/>
        </w:rPr>
        <w:t xml:space="preserve">To the IT Manager</w:t>
      </w:r>
      <w:r>
        <w:t xml:space="preserve">:</w:t>
      </w:r>
      <w:r>
        <w:t xml:space="preserve"> </w:t>
      </w:r>
      <w:r>
        <w:t xml:space="preserve">“How does the development team currently receive input from the epidemiologists? Do you use a specific framework to map public health goals to technical backlogs?”</w:t>
      </w:r>
    </w:p>
    <w:p>
      <w:pPr>
        <w:pStyle w:val="Compact"/>
        <w:numPr>
          <w:ilvl w:val="0"/>
          <w:numId w:val="1171"/>
        </w:numPr>
      </w:pPr>
      <w:r>
        <w:rPr>
          <w:b/>
          <w:bCs/>
        </w:rPr>
        <w:t xml:space="preserve">To the Program Manager</w:t>
      </w:r>
      <w:r>
        <w:t xml:space="preserve">:</w:t>
      </w:r>
      <w:r>
        <w:t xml:space="preserve"> </w:t>
      </w:r>
      <w:r>
        <w:t xml:space="preserve">“How is the success of this IT project being measured? Are we tracking just</w:t>
      </w:r>
      <w:r>
        <w:t xml:space="preserve"> </w:t>
      </w:r>
      <w:r>
        <w:t xml:space="preserve">‘system uptime,’</w:t>
      </w:r>
      <w:r>
        <w:t xml:space="preserve"> </w:t>
      </w:r>
      <w:r>
        <w:t xml:space="preserve">or are we tracking public health metrics like</w:t>
      </w:r>
      <w:r>
        <w:t xml:space="preserve"> </w:t>
      </w:r>
      <w:r>
        <w:t xml:space="preserve">‘time to intervention’</w:t>
      </w:r>
      <w:r>
        <w:t xml:space="preserve">?”</w:t>
      </w:r>
    </w:p>
    <w:p>
      <w:pPr>
        <w:pStyle w:val="Compact"/>
        <w:numPr>
          <w:ilvl w:val="0"/>
          <w:numId w:val="1171"/>
        </w:numPr>
      </w:pPr>
      <w:r>
        <w:rPr>
          <w:b/>
          <w:bCs/>
        </w:rPr>
        <w:t xml:space="preserve">The Role-Definition Question</w:t>
      </w:r>
      <w:r>
        <w:t xml:space="preserve">:</w:t>
      </w:r>
      <w:r>
        <w:t xml:space="preserve"> </w:t>
      </w:r>
      <w:r>
        <w:t xml:space="preserve">“Who currently owns the</w:t>
      </w:r>
      <w:r>
        <w:t xml:space="preserve"> </w:t>
      </w:r>
      <w:r>
        <w:t xml:space="preserve">‘translation’</w:t>
      </w:r>
      <w:r>
        <w:t xml:space="preserve"> </w:t>
      </w:r>
      <w:r>
        <w:t xml:space="preserve">between the clinical subject matter experts and the technical vendors? Is that a gap this role is intended to fill?”</w:t>
      </w:r>
    </w:p>
    <w:bookmarkEnd w:id="548"/>
    <w:bookmarkEnd w:id="549"/>
    <w:bookmarkStart w:id="553" w:name="a-note-for-hiring-managers"/>
    <w:p>
      <w:pPr>
        <w:pStyle w:val="Heading2"/>
      </w:pPr>
      <w:r>
        <w:t xml:space="preserve">A Note for Hiring Managers</w:t>
      </w:r>
    </w:p>
    <w:p>
      <w:pPr>
        <w:pStyle w:val="FirstParagraph"/>
      </w:pPr>
      <w:r>
        <w:t xml:space="preserve">This appendix is primarily for job seekers, but a note for those</w:t>
      </w:r>
      <w:r>
        <w:t xml:space="preserve"> </w:t>
      </w:r>
      <w:r>
        <w:rPr>
          <w:i/>
          <w:iCs/>
        </w:rPr>
        <w:t xml:space="preserve">hiring</w:t>
      </w:r>
      <w:r>
        <w:t xml:space="preserve"> </w:t>
      </w:r>
      <w:r>
        <w:t xml:space="preserve">is essential. The</w:t>
      </w:r>
      <w:r>
        <w:t xml:space="preserve"> </w:t>
      </w:r>
      <w:r>
        <w:t xml:space="preserve">“talent shortage”</w:t>
      </w:r>
      <w:r>
        <w:t xml:space="preserve"> </w:t>
      </w:r>
      <w:r>
        <w:t xml:space="preserve">in public health informatics is often a</w:t>
      </w:r>
      <w:r>
        <w:t xml:space="preserve"> </w:t>
      </w:r>
      <w:r>
        <w:t xml:space="preserve">“visibility shortage.”</w:t>
      </w:r>
      <w:r>
        <w:t xml:space="preserve"> </w:t>
      </w:r>
      <w:r>
        <w:t xml:space="preserve">The candidates exist, but they are filtered out by rigid requirements.</w:t>
      </w:r>
    </w:p>
    <w:bookmarkStart w:id="550" w:name="re-examine-degree-requirements"/>
    <w:p>
      <w:pPr>
        <w:pStyle w:val="Heading3"/>
      </w:pPr>
      <w:r>
        <w:t xml:space="preserve">Re-Examine Degree Requirements</w:t>
      </w:r>
    </w:p>
    <w:p>
      <w:pPr>
        <w:pStyle w:val="FirstParagraph"/>
      </w:pPr>
      <w:r>
        <w:t xml:space="preserve">Do not filter exclusively for MPH or Computer Science degrees. A History major who has spent five years managing a complex nonprofit database often makes an excellent Business Analyst due to their research and synthesis skills.</w:t>
      </w:r>
    </w:p>
    <w:bookmarkEnd w:id="550"/>
    <w:bookmarkStart w:id="551" w:name="hunt-for-super-users"/>
    <w:p>
      <w:pPr>
        <w:pStyle w:val="Heading3"/>
      </w:pPr>
      <w:r>
        <w:t xml:space="preserve">Hunt for</w:t>
      </w:r>
      <w:r>
        <w:t xml:space="preserve"> </w:t>
      </w:r>
      <w:r>
        <w:t xml:space="preserve">“Super-Users”</w:t>
      </w:r>
    </w:p>
    <w:p>
      <w:pPr>
        <w:pStyle w:val="FirstParagraph"/>
      </w:pPr>
      <w:r>
        <w:t xml:space="preserve">The best future analysts are often currently working inside your organization as nurses, registrars, or administrative assistants. They are the ones who become the</w:t>
      </w:r>
      <w:r>
        <w:t xml:space="preserve"> </w:t>
      </w:r>
      <w:r>
        <w:t xml:space="preserve">“go-to”</w:t>
      </w:r>
      <w:r>
        <w:t xml:space="preserve"> </w:t>
      </w:r>
      <w:r>
        <w:t xml:space="preserve">person for their team’s technology problems. They possess the deep domain context that is hardest to teach; technical skills (SQL, Visio) can be taught more easily.</w:t>
      </w:r>
    </w:p>
    <w:bookmarkEnd w:id="551"/>
    <w:bookmarkStart w:id="552" w:name="use-your-contracts-as-signals"/>
    <w:p>
      <w:pPr>
        <w:pStyle w:val="Heading3"/>
      </w:pPr>
      <w:r>
        <w:t xml:space="preserve">Use Your Contracts as Signals</w:t>
      </w:r>
    </w:p>
    <w:p>
      <w:pPr>
        <w:pStyle w:val="FirstParagraph"/>
      </w:pPr>
      <w:r>
        <w:t xml:space="preserve">If you are a vendor, use your RFP wins as recruitment tools. Advertise that you are</w:t>
      </w:r>
      <w:r>
        <w:t xml:space="preserve"> </w:t>
      </w:r>
      <w:r>
        <w:t xml:space="preserve">“staffing for a newly awarded CDC modernization contract.”</w:t>
      </w:r>
      <w:r>
        <w:t xml:space="preserve"> </w:t>
      </w:r>
      <w:r>
        <w:t xml:space="preserve">This signals stability and high-impact work to prospective candidates.</w:t>
      </w:r>
    </w:p>
    <w:bookmarkEnd w:id="552"/>
    <w:bookmarkEnd w:id="553"/>
    <w:bookmarkStart w:id="561" w:name="Xab1e62b0c6b0b3d96f908b36978d6f25c7f3029"/>
    <w:p>
      <w:pPr>
        <w:pStyle w:val="Heading2"/>
      </w:pPr>
      <w:r>
        <w:t xml:space="preserve">Quick Reference: Search String Cheat Sheet</w:t>
      </w:r>
    </w:p>
    <w:p>
      <w:pPr>
        <w:pStyle w:val="FirstParagraph"/>
      </w:pPr>
      <w:r>
        <w:t xml:space="preserve">Use these strings in Google to identify opportunities.</w:t>
      </w:r>
    </w:p>
    <w:bookmarkStart w:id="554" w:name="the-generalist-hybrid-search"/>
    <w:p>
      <w:pPr>
        <w:pStyle w:val="Heading3"/>
      </w:pPr>
      <w:r>
        <w:t xml:space="preserve">1. The Generalist Hybrid Search</w:t>
      </w:r>
    </w:p>
    <w:p>
      <w:pPr>
        <w:pStyle w:val="SourceCode"/>
      </w:pPr>
      <w:r>
        <w:rPr>
          <w:rStyle w:val="VerbatimChar"/>
        </w:rPr>
        <w:t xml:space="preserve">("Business Analyst" OR "Systems Analyst" OR "Product Owner") AND </w:t>
      </w:r>
      <w:r>
        <w:br/>
      </w:r>
      <w:r>
        <w:rPr>
          <w:rStyle w:val="VerbatimChar"/>
        </w:rPr>
        <w:t xml:space="preserve">("Public Health" OR "Epidemiology" OR "Infectious Disease") AND </w:t>
      </w:r>
      <w:r>
        <w:br/>
      </w:r>
      <w:r>
        <w:rPr>
          <w:rStyle w:val="VerbatimChar"/>
        </w:rPr>
        <w:t xml:space="preserve">("Remote" OR "Hybrid")</w:t>
      </w:r>
    </w:p>
    <w:bookmarkEnd w:id="554"/>
    <w:bookmarkStart w:id="555" w:name="the-informatics-specialist-search"/>
    <w:p>
      <w:pPr>
        <w:pStyle w:val="Heading3"/>
      </w:pPr>
      <w:r>
        <w:t xml:space="preserve">2. The Informatics Specialist Search</w:t>
      </w:r>
    </w:p>
    <w:p>
      <w:pPr>
        <w:pStyle w:val="SourceCode"/>
      </w:pPr>
      <w:r>
        <w:rPr>
          <w:rStyle w:val="VerbatimChar"/>
        </w:rPr>
        <w:t xml:space="preserve">("Informatics" OR "Informatician") AND ("HL7" OR "FHIR" OR </w:t>
      </w:r>
      <w:r>
        <w:br/>
      </w:r>
      <w:r>
        <w:rPr>
          <w:rStyle w:val="VerbatimChar"/>
        </w:rPr>
        <w:t xml:space="preserve">"Interoperability" OR "ELR" OR "eCR") AND ("CDC" OR "DOH" OR </w:t>
      </w:r>
      <w:r>
        <w:br/>
      </w:r>
      <w:r>
        <w:rPr>
          <w:rStyle w:val="VerbatimChar"/>
        </w:rPr>
        <w:t xml:space="preserve">"Department of Health")</w:t>
      </w:r>
    </w:p>
    <w:bookmarkEnd w:id="555"/>
    <w:bookmarkStart w:id="556" w:name="the-rfp-hunter-contract-finding"/>
    <w:p>
      <w:pPr>
        <w:pStyle w:val="Heading3"/>
      </w:pPr>
      <w:r>
        <w:t xml:space="preserve">3. The RFP Hunter (Contract Finding)</w:t>
      </w:r>
    </w:p>
    <w:p>
      <w:pPr>
        <w:pStyle w:val="SourceCode"/>
      </w:pPr>
      <w:r>
        <w:rPr>
          <w:rStyle w:val="VerbatimChar"/>
        </w:rPr>
        <w:t xml:space="preserve">(RFP OR "Request for Proposal" OR "Notice of Funding Opportunity") </w:t>
      </w:r>
      <w:r>
        <w:br/>
      </w:r>
      <w:r>
        <w:rPr>
          <w:rStyle w:val="VerbatimChar"/>
        </w:rPr>
        <w:t xml:space="preserve">AND ("Surveillance System" OR "Registry" OR "Data Modernization") </w:t>
      </w:r>
      <w:r>
        <w:br/>
      </w:r>
      <w:r>
        <w:rPr>
          <w:rStyle w:val="VerbatimChar"/>
        </w:rPr>
        <w:t xml:space="preserve">AND ("2025" OR "2026") filetype:pdf</w:t>
      </w:r>
    </w:p>
    <w:bookmarkEnd w:id="556"/>
    <w:bookmarkStart w:id="557" w:name="the-winning-vendor-search"/>
    <w:p>
      <w:pPr>
        <w:pStyle w:val="Heading3"/>
      </w:pPr>
      <w:r>
        <w:t xml:space="preserve">4. The Winning Vendor Search</w:t>
      </w:r>
    </w:p>
    <w:p>
      <w:pPr>
        <w:pStyle w:val="SourceCode"/>
      </w:pPr>
      <w:r>
        <w:rPr>
          <w:rStyle w:val="VerbatimChar"/>
        </w:rPr>
        <w:t xml:space="preserve">("Contract Award" OR "Notice of Award") AND ("Department of Health" </w:t>
      </w:r>
      <w:r>
        <w:br/>
      </w:r>
      <w:r>
        <w:rPr>
          <w:rStyle w:val="VerbatimChar"/>
        </w:rPr>
        <w:t xml:space="preserve">OR "CDC") AND ("IT" OR "System") 2024..2026</w:t>
      </w:r>
    </w:p>
    <w:bookmarkEnd w:id="557"/>
    <w:bookmarkStart w:id="560" w:name="the-ats-platform-search"/>
    <w:p>
      <w:pPr>
        <w:pStyle w:val="Heading3"/>
      </w:pPr>
      <w:r>
        <w:t xml:space="preserve">5. The ATS Platform Search</w:t>
      </w:r>
    </w:p>
    <w:p>
      <w:pPr>
        <w:pStyle w:val="SourceCode"/>
      </w:pPr>
      <w:r>
        <w:rPr>
          <w:rStyle w:val="VerbatimChar"/>
        </w:rPr>
        <w:t xml:space="preserve">site:lever.co OR site:greenhouse.io OR site:workday.com </w:t>
      </w:r>
      <w:r>
        <w:br/>
      </w:r>
      <w:r>
        <w:rPr>
          <w:rStyle w:val="VerbatimChar"/>
        </w:rPr>
        <w:t xml:space="preserve">("Public Health" AND "Analyst")</w:t>
      </w:r>
    </w:p>
    <w:p>
      <w:pPr>
        <w:pStyle w:val="FirstParagraph"/>
      </w:pPr>
      <w:r>
        <w:t xml:space="preserve">This searches inside common HR platforms to find jobs that might not be indexed on aggregators.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8" name="Picture"/>
                  <a:graphic>
                    <a:graphicData uri="http://schemas.openxmlformats.org/drawingml/2006/picture">
                      <pic:pic>
                        <pic:nvPicPr>
                          <pic:cNvPr descr="C:\Users\andre\AppData\Local\Programs\Quarto\share\formats\docx\tip.png" id="5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Applying the Bridgeframe Mindset</w:t>
            </w:r>
          </w:p>
        </w:tc>
      </w:tr>
      <w:tr>
        <w:trPr>
          <w:cantSplit/>
        </w:trPr>
        <w:tc>
          <w:tcPr>
            <w:tcMar>
              <w:top w:w="108" w:type="dxa"/>
              <w:bottom w:w="108" w:type="dxa"/>
            </w:tcMar>
          </w:tcPr>
          <w:p>
            <w:pPr>
              <w:pStyle w:val="BodyText"/>
            </w:pPr>
            <w:pPr>
              <w:spacing w:before="16"/>
            </w:pPr>
            <w:r>
              <w:t xml:space="preserve">The job search for a hybrid professional is, in itself, an act of business analysis. It requires analyzing the market (Current State), identifying the gaps where hybrid skills add value (Future State), and designing a strategy (The Application) to bridge that gap.</w:t>
            </w:r>
          </w:p>
          <w:p>
            <w:pPr>
              <w:pStyle w:val="BodyText"/>
            </w:pPr>
            <w:pPr>
              <w:spacing w:after="16"/>
            </w:pPr>
            <w:r>
              <w:t xml:space="preserve">Whether the journey begins in a rural health department, building foundational knowledge of public health reality, or leverages advanced search operators to uncover a major federal contract, the opportunities are vast. The field of public health is undergoing a massive digital transformation. It does not just need code; it needs context. It needs the Bridgeframe professional.</w:t>
            </w:r>
          </w:p>
          <w:p/>
        </w:tc>
      </w:tr>
    </w:tbl>
    <w:bookmarkEnd w:id="560"/>
    <w:bookmarkEnd w:id="561"/>
    <w:bookmarkEnd w:id="562"/>
    <w:bookmarkStart w:id="587"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563"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p>
      <w:pPr>
        <w:pStyle w:val="DefinitionTerm"/>
      </w:pPr>
      <w:r>
        <w:rPr>
          <w:b/>
          <w:bCs/>
        </w:rPr>
        <w:t xml:space="preserve">Applicant Tracking System (ATS)</w:t>
      </w:r>
      <w:r>
        <w:t xml:space="preserve"> </w:t>
      </w:r>
      <w:r>
        <w:t xml:space="preserve">(Workforce)</w:t>
      </w:r>
    </w:p>
    <w:p>
      <w:pPr>
        <w:pStyle w:val="Definition"/>
      </w:pPr>
      <w:r>
        <w:t xml:space="preserve">Automated software used by employers to filter job applications by keywords and qualifications. Hybrid professionals must tailor resumes to pass ATS filters in both technical and public health domains.</w:t>
      </w:r>
    </w:p>
    <w:p>
      <w:pPr>
        <w:pStyle w:val="DefinitionTerm"/>
      </w:pPr>
      <w:r>
        <w:rPr>
          <w:b/>
          <w:bCs/>
        </w:rPr>
        <w:t xml:space="preserve">Award Notice</w:t>
      </w:r>
      <w:r>
        <w:t xml:space="preserve"> </w:t>
      </w:r>
      <w:r>
        <w:t xml:space="preserve">(Government Procurement)</w:t>
      </w:r>
    </w:p>
    <w:p>
      <w:pPr>
        <w:pStyle w:val="Definition"/>
      </w:pPr>
      <w:r>
        <w:t xml:space="preserve">Public announcement of which vendor won a government contract. Job seekers can use award notices to identify employers who are actively staffing new projects.</w:t>
      </w:r>
    </w:p>
    <w:bookmarkEnd w:id="563"/>
    <w:bookmarkStart w:id="564"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Blind Application</w:t>
      </w:r>
      <w:r>
        <w:t xml:space="preserve"> </w:t>
      </w:r>
      <w:r>
        <w:t xml:space="preserve">(Workforce)</w:t>
      </w:r>
    </w:p>
    <w:p>
      <w:pPr>
        <w:pStyle w:val="Definition"/>
      </w:pPr>
      <w:r>
        <w:t xml:space="preserve">Proactive job application sent to a vendor before they post open positions, typically after identifying a contract award. Positions the applicant as a solution provider rather than a job seeker.</w:t>
      </w:r>
    </w:p>
    <w:p>
      <w:pPr>
        <w:pStyle w:val="DefinitionTerm"/>
      </w:pPr>
      <w:r>
        <w:rPr>
          <w:b/>
          <w:bCs/>
        </w:rPr>
        <w:t xml:space="preserve">Bridge Role</w:t>
      </w:r>
      <w:r>
        <w:t xml:space="preserve"> </w:t>
      </w:r>
      <w:r>
        <w:t xml:space="preserve">(Workforce)</w:t>
      </w:r>
    </w:p>
    <w:p>
      <w:pPr>
        <w:pStyle w:val="Definition"/>
      </w:pPr>
      <w:r>
        <w:t xml:space="preserve">Position explicitly designed for translation between IT and public health domains, such as Health Informatics Liaison or Technical Program Analyst. These roles typically have dual reporting and cross-domain performance metrics.</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564"/>
    <w:bookmarkStart w:id="565"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CAHIMS / CPHIMS</w:t>
      </w:r>
      <w:r>
        <w:t xml:space="preserve"> </w:t>
      </w:r>
      <w:r>
        <w:t xml:space="preserve">(Workforce)</w:t>
      </w:r>
    </w:p>
    <w:p>
      <w:pPr>
        <w:pStyle w:val="Definition"/>
      </w:pPr>
      <w:r>
        <w:t xml:space="preserve">Certified Associate/Professional in Healthcare Information and Management Systems. HIMSS certifications demonstrating health IT competency; valuable credentials for BA professionals entering the health sector.</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of Practice</w:t>
      </w:r>
      <w:r>
        <w:t xml:space="preserve"> </w:t>
      </w:r>
      <w:r>
        <w:t xml:space="preserve">(Workforce)</w:t>
      </w:r>
    </w:p>
    <w:p>
      <w:pPr>
        <w:pStyle w:val="Definition"/>
      </w:pPr>
      <w:r>
        <w:t xml:space="preserve">Internal group connecting professionals across organizational silos to share knowledge. In hybrid contexts, CoPs facilitate BA/PH translation through brown-bag sessions, shared channels, and joint retrospectives.</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565"/>
    <w:bookmarkStart w:id="566"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p>
      <w:pPr>
        <w:pStyle w:val="DefinitionTerm"/>
      </w:pPr>
      <w:r>
        <w:rPr>
          <w:b/>
          <w:bCs/>
        </w:rPr>
        <w:t xml:space="preserve">Dual-Framework Thinking</w:t>
      </w:r>
      <w:r>
        <w:t xml:space="preserve"> </w:t>
      </w:r>
      <w:r>
        <w:t xml:space="preserve">(Workforce)</w:t>
      </w:r>
    </w:p>
    <w:p>
      <w:pPr>
        <w:pStyle w:val="Definition"/>
      </w:pPr>
      <w:r>
        <w:t xml:space="preserve">Core competency of hybrid professionals: the ability to map Agile artifacts (user stories, sprints) to Logic Model outcomes (activities, outputs) and vice versa.</w:t>
      </w:r>
    </w:p>
    <w:bookmarkEnd w:id="566"/>
    <w:bookmarkStart w:id="567"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567"/>
    <w:bookmarkStart w:id="568"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568"/>
    <w:bookmarkStart w:id="569"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569"/>
    <w:bookmarkStart w:id="570"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p>
      <w:pPr>
        <w:pStyle w:val="DefinitionTerm"/>
      </w:pPr>
      <w:r>
        <w:rPr>
          <w:b/>
          <w:bCs/>
        </w:rPr>
        <w:t xml:space="preserve">Hybrid Professional</w:t>
      </w:r>
      <w:r>
        <w:t xml:space="preserve"> </w:t>
      </w:r>
      <w:r>
        <w:t xml:space="preserve">(Workforce)</w:t>
      </w:r>
    </w:p>
    <w:p>
      <w:pPr>
        <w:pStyle w:val="Definition"/>
      </w:pPr>
      <w:r>
        <w:t xml:space="preserve">Professional who operates fluently in both IT/BA and public health domains. May also be called Public Health Business Analyst (PH-BA) or Health Informatician. See also: Bridge Role.</w:t>
      </w:r>
    </w:p>
    <w:bookmarkEnd w:id="570"/>
    <w:bookmarkStart w:id="571"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571"/>
    <w:bookmarkStart w:id="572"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572"/>
    <w:bookmarkStart w:id="573" w:name="j"/>
    <w:p>
      <w:pPr>
        <w:pStyle w:val="Heading2"/>
      </w:pPr>
      <w:r>
        <w:t xml:space="preserve">J</w:t>
      </w:r>
    </w:p>
    <w:p>
      <w:pPr>
        <w:pStyle w:val="DefinitionTerm"/>
      </w:pPr>
      <w:r>
        <w:rPr>
          <w:b/>
          <w:bCs/>
        </w:rPr>
        <w:t xml:space="preserve">Job Series</w:t>
      </w:r>
      <w:r>
        <w:t xml:space="preserve"> </w:t>
      </w:r>
      <w:r>
        <w:t xml:space="preserve">(Federal Employment)</w:t>
      </w:r>
    </w:p>
    <w:p>
      <w:pPr>
        <w:pStyle w:val="Definition"/>
      </w:pPr>
      <w:r>
        <w:t xml:space="preserve">Numerical classification system for federal positions. Key series for hybrid professionals include 0601 (General Health Science), 0685 (Public Health Program Specialist), and 2210 (IT Management).</w:t>
      </w:r>
    </w:p>
    <w:bookmarkEnd w:id="573"/>
    <w:bookmarkStart w:id="574"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574"/>
    <w:bookmarkStart w:id="575"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575"/>
    <w:bookmarkStart w:id="576"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576"/>
    <w:bookmarkStart w:id="577"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Onboarding Crosswalk</w:t>
      </w:r>
      <w:r>
        <w:t xml:space="preserve"> </w:t>
      </w:r>
      <w:r>
        <w:t xml:space="preserve">(Workforce)</w:t>
      </w:r>
    </w:p>
    <w:p>
      <w:pPr>
        <w:pStyle w:val="Definition"/>
      </w:pPr>
      <w:r>
        <w:t xml:space="preserve">Structured orientation materials that cover both BA and PH domains for new team members joining hybrid projects. Includes terminology glossaries, framework overviews, and project-specific mappings.</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577"/>
    <w:bookmarkStart w:id="578"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PHIFP (Public Health Informatics Fellowship Program)</w:t>
      </w:r>
      <w:r>
        <w:t xml:space="preserve"> </w:t>
      </w:r>
      <w:r>
        <w:t xml:space="preserve">(Workforce)</w:t>
      </w:r>
    </w:p>
    <w:p>
      <w:pPr>
        <w:pStyle w:val="Definition"/>
      </w:pPr>
      <w:r>
        <w:t xml:space="preserve">CDC fellowship program training professionals at the intersection of public health practice and information systems. Produces hybrid professionals who lead health IT initiatives across state and local health departments.</w:t>
      </w:r>
    </w:p>
    <w:p>
      <w:pPr>
        <w:pStyle w:val="DefinitionTerm"/>
      </w:pPr>
      <w:r>
        <w:rPr>
          <w:b/>
          <w:bCs/>
        </w:rPr>
        <w:t xml:space="preserve">PHIT (Public Health Informatics &amp; Technology) Program</w:t>
      </w:r>
      <w:r>
        <w:t xml:space="preserve"> </w:t>
      </w:r>
      <w:r>
        <w:t xml:space="preserve">(Workforce)</w:t>
      </w:r>
    </w:p>
    <w:p>
      <w:pPr>
        <w:pStyle w:val="Definition"/>
      </w:pPr>
      <w:r>
        <w:t xml:space="preserve">ONC-funded workforce development program training diverse professionals in health informatics. Emphasizes recruiting from underrepresented communities.</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p>
      <w:pPr>
        <w:pStyle w:val="DefinitionTerm"/>
      </w:pPr>
      <w:r>
        <w:rPr>
          <w:b/>
          <w:bCs/>
        </w:rPr>
        <w:t xml:space="preserve">Public Trust</w:t>
      </w:r>
      <w:r>
        <w:t xml:space="preserve"> </w:t>
      </w:r>
      <w:r>
        <w:t xml:space="preserve">(Federal Employment)</w:t>
      </w:r>
    </w:p>
    <w:p>
      <w:pPr>
        <w:pStyle w:val="Definition"/>
      </w:pPr>
      <w:r>
        <w:t xml:space="preserve">Security clearance level commonly required for federal contractor positions in health IT. Lower than Secret/Top Secret but still requires background investigation.</w:t>
      </w:r>
    </w:p>
    <w:bookmarkEnd w:id="578"/>
    <w:bookmarkStart w:id="579"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579"/>
    <w:bookmarkStart w:id="580"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Request for Proposal (RFP)</w:t>
      </w:r>
      <w:r>
        <w:t xml:space="preserve"> </w:t>
      </w:r>
      <w:r>
        <w:t xml:space="preserve">(Government Procurement)</w:t>
      </w:r>
    </w:p>
    <w:p>
      <w:pPr>
        <w:pStyle w:val="Definition"/>
      </w:pPr>
      <w:r>
        <w:t xml:space="preserve">Formal solicitation document describing a government agency’s needs and inviting vendors to bid. For job seekers, RFPs reveal upcoming demand for specific skills before positions are posted. See also: Award Notice.</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580"/>
    <w:bookmarkStart w:id="581"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p>
      <w:pPr>
        <w:pStyle w:val="DefinitionTerm"/>
      </w:pPr>
      <w:r>
        <w:rPr>
          <w:b/>
          <w:bCs/>
        </w:rPr>
        <w:t xml:space="preserve">Super-User</w:t>
      </w:r>
      <w:r>
        <w:t xml:space="preserve"> </w:t>
      </w:r>
      <w:r>
        <w:t xml:space="preserve">(Workforce)</w:t>
      </w:r>
    </w:p>
    <w:p>
      <w:pPr>
        <w:pStyle w:val="Definition"/>
      </w:pPr>
      <w:r>
        <w:t xml:space="preserve">Staff member who becomes the informal technology expert for their team. Often the best candidates for formal hybrid roles because they possess deep domain context that is difficult to teach.</w:t>
      </w:r>
    </w:p>
    <w:p>
      <w:pPr>
        <w:pStyle w:val="DefinitionTerm"/>
      </w:pPr>
      <w:r>
        <w:rPr>
          <w:b/>
          <w:bCs/>
        </w:rPr>
        <w:t xml:space="preserve">Systems Integrator</w:t>
      </w:r>
      <w:r>
        <w:t xml:space="preserve"> </w:t>
      </w:r>
      <w:r>
        <w:t xml:space="preserve">(Federal Contracting)</w:t>
      </w:r>
    </w:p>
    <w:p>
      <w:pPr>
        <w:pStyle w:val="Definition"/>
      </w:pPr>
      <w:r>
        <w:t xml:space="preserve">Large consulting firm that executes major government IT contracts (e.g., Deloitte, Accenture, Booz Allen Hamilton, Leidos). Primary employers for hybrid professionals working on federal health IT modernization.</w:t>
      </w:r>
    </w:p>
    <w:bookmarkEnd w:id="581"/>
    <w:bookmarkStart w:id="582"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Terminology Fluency</w:t>
      </w:r>
      <w:r>
        <w:t xml:space="preserve"> </w:t>
      </w:r>
      <w:r>
        <w:t xml:space="preserve">(Workforce)</w:t>
      </w:r>
    </w:p>
    <w:p>
      <w:pPr>
        <w:pStyle w:val="Definition"/>
      </w:pPr>
      <w:r>
        <w:t xml:space="preserve">Ability to speak both BA and PH languages without constant translation pauses. A core competency for hybrid professionals.</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582"/>
    <w:bookmarkStart w:id="583"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Unicorn Job Description</w:t>
      </w:r>
      <w:r>
        <w:t xml:space="preserve"> </w:t>
      </w:r>
      <w:r>
        <w:t xml:space="preserve">(Workforce)</w:t>
      </w:r>
    </w:p>
    <w:p>
      <w:pPr>
        <w:pStyle w:val="Definition"/>
      </w:pPr>
      <w:r>
        <w:t xml:space="preserve">Job posting with unrealistic requirements spanning multiple specialties (e.g., PhD, PMP, 10 years Python, and nursing license). Usually signals role clarity issues; candidates meeting 50 to 60 percent of criteria should still apply.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583"/>
    <w:bookmarkStart w:id="584"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584"/>
    <w:bookmarkStart w:id="585"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585"/>
    <w:bookmarkStart w:id="586"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586"/>
    <w:bookmarkEnd w:id="587"/>
    <w:bookmarkStart w:id="588" w:name="references"/>
    <w:p>
      <w:pPr>
        <w:pStyle w:val="Heading1"/>
      </w:pPr>
      <w:r>
        <w:t xml:space="preserve">References</w:t>
      </w:r>
    </w:p>
    <w:bookmarkEnd w:id="588"/>
    <w:bookmarkStart w:id="599" w:name="references-1"/>
    <w:p>
      <w:pPr>
        <w:pStyle w:val="Heading1"/>
      </w:pPr>
      <w:r>
        <w:t xml:space="preserve">References</w:t>
      </w:r>
    </w:p>
    <w:bookmarkStart w:id="598" w:name="refs"/>
    <w:bookmarkStart w:id="589"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589"/>
    <w:bookmarkStart w:id="591"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590">
        <w:r>
          <w:rPr>
            <w:rStyle w:val="Hyperlink"/>
          </w:rPr>
          <w:t xml:space="preserve">https://www.cdc.gov/evaluation/php/evaluation-framework/index.html</w:t>
        </w:r>
      </w:hyperlink>
    </w:p>
    <w:bookmarkEnd w:id="591"/>
    <w:bookmarkStart w:id="593"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592">
        <w:r>
          <w:rPr>
            <w:rStyle w:val="Hyperlink"/>
          </w:rPr>
          <w:t xml:space="preserve">https://www.cdc.gov/mmwr/volumes/73/rr/rr7306a1.htm</w:t>
        </w:r>
      </w:hyperlink>
    </w:p>
    <w:bookmarkEnd w:id="593"/>
    <w:bookmarkStart w:id="595"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594">
        <w:r>
          <w:rPr>
            <w:rStyle w:val="Hyperlink"/>
          </w:rPr>
          <w:t xml:space="preserve">https://re-aim.org/</w:t>
        </w:r>
      </w:hyperlink>
    </w:p>
    <w:bookmarkEnd w:id="595"/>
    <w:bookmarkStart w:id="597"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596">
        <w:r>
          <w:rPr>
            <w:rStyle w:val="Hyperlink"/>
          </w:rPr>
          <w:t xml:space="preserve">https://re-aim.org/1999/</w:t>
        </w:r>
      </w:hyperlink>
    </w:p>
    <w:bookmarkEnd w:id="597"/>
    <w:bookmarkEnd w:id="598"/>
    <w:bookmarkEnd w:id="599"/>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41" Target="media/rId141.png" /><Relationship Type="http://schemas.openxmlformats.org/officeDocument/2006/relationships/image" Id="rId173" Target="media/rId173.png" /><Relationship Type="http://schemas.openxmlformats.org/officeDocument/2006/relationships/image" Id="rId206" Target="media/rId206.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252" Target="media/rId252.png" /><Relationship Type="http://schemas.openxmlformats.org/officeDocument/2006/relationships/image" Id="rId277" Target="media/rId277.png" /><Relationship Type="http://schemas.openxmlformats.org/officeDocument/2006/relationships/image" Id="rId301" Target="media/rId301.png" /><Relationship Type="http://schemas.openxmlformats.org/officeDocument/2006/relationships/image" Id="rId314" Target="media/rId314.png" /><Relationship Type="http://schemas.openxmlformats.org/officeDocument/2006/relationships/image" Id="rId340" Target="media/rId340.png" /><Relationship Type="http://schemas.openxmlformats.org/officeDocument/2006/relationships/image" Id="rId330" Target="media/rId330.png" /><Relationship Type="http://schemas.openxmlformats.org/officeDocument/2006/relationships/image" Id="rId383" Target="media/rId383.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480" Target="https://amia.org/community/working-groups/public-health-informatics" TargetMode="External" /><Relationship Type="http://schemas.openxmlformats.org/officeDocument/2006/relationships/hyperlink" Id="rId483" Target="https://amia.org/education-events/amia-10x10-courses" TargetMode="External" /><Relationship Type="http://schemas.openxmlformats.org/officeDocument/2006/relationships/hyperlink" Id="rId440" Target="https://code.visualstudio.com" TargetMode="External" /><Relationship Type="http://schemas.openxmlformats.org/officeDocument/2006/relationships/hyperlink" Id="rId469" Target="https://docs.github.com/en/pages" TargetMode="External" /><Relationship Type="http://schemas.openxmlformats.org/officeDocument/2006/relationships/hyperlink" Id="rId441" Target="https://git-scm.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594" Target="https://re-aim.org/" TargetMode="External" /><Relationship Type="http://schemas.openxmlformats.org/officeDocument/2006/relationships/hyperlink" Id="rId596" Target="https://re-aim.org/1999/" TargetMode="External" /><Relationship Type="http://schemas.openxmlformats.org/officeDocument/2006/relationships/hyperlink" Id="rId590" Target="https://www.cdc.gov/evaluation/php/evaluation-framework/index.html" TargetMode="External" /><Relationship Type="http://schemas.openxmlformats.org/officeDocument/2006/relationships/hyperlink" Id="rId592" Target="https://www.cdc.gov/mmwr/volumes/73/rr/rr7306a1.htm" TargetMode="External" /><Relationship Type="http://schemas.openxmlformats.org/officeDocument/2006/relationships/hyperlink" Id="rId476" Target="https://www.cdc.gov/phifp/php/about/index.html" TargetMode="External" /><Relationship Type="http://schemas.openxmlformats.org/officeDocument/2006/relationships/hyperlink" Id="rId478" Target="https://www.healthit.gov/topic/onc-hitech-programs/workforce-development-programs" TargetMode="External" /><Relationship Type="http://schemas.openxmlformats.org/officeDocument/2006/relationships/hyperlink" Id="rId484"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482" Target="https://www.train.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480" Target="https://amia.org/community/working-groups/public-health-informatics" TargetMode="External" /><Relationship Type="http://schemas.openxmlformats.org/officeDocument/2006/relationships/hyperlink" Id="rId483" Target="https://amia.org/education-events/amia-10x10-courses" TargetMode="External" /><Relationship Type="http://schemas.openxmlformats.org/officeDocument/2006/relationships/hyperlink" Id="rId440" Target="https://code.visualstudio.com" TargetMode="External" /><Relationship Type="http://schemas.openxmlformats.org/officeDocument/2006/relationships/hyperlink" Id="rId469" Target="https://docs.github.com/en/pages" TargetMode="External" /><Relationship Type="http://schemas.openxmlformats.org/officeDocument/2006/relationships/hyperlink" Id="rId441" Target="https://git-scm.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594" Target="https://re-aim.org/" TargetMode="External" /><Relationship Type="http://schemas.openxmlformats.org/officeDocument/2006/relationships/hyperlink" Id="rId596" Target="https://re-aim.org/1999/" TargetMode="External" /><Relationship Type="http://schemas.openxmlformats.org/officeDocument/2006/relationships/hyperlink" Id="rId590" Target="https://www.cdc.gov/evaluation/php/evaluation-framework/index.html" TargetMode="External" /><Relationship Type="http://schemas.openxmlformats.org/officeDocument/2006/relationships/hyperlink" Id="rId592" Target="https://www.cdc.gov/mmwr/volumes/73/rr/rr7306a1.htm" TargetMode="External" /><Relationship Type="http://schemas.openxmlformats.org/officeDocument/2006/relationships/hyperlink" Id="rId476" Target="https://www.cdc.gov/phifp/php/about/index.html" TargetMode="External" /><Relationship Type="http://schemas.openxmlformats.org/officeDocument/2006/relationships/hyperlink" Id="rId478" Target="https://www.healthit.gov/topic/onc-hitech-programs/workforce-development-programs" TargetMode="External" /><Relationship Type="http://schemas.openxmlformats.org/officeDocument/2006/relationships/hyperlink" Id="rId484"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482" Target="https://www.train.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2026-01-14T16:12:32Z</dcterms:created>
  <dcterms:modified xsi:type="dcterms:W3CDTF">2026-01-14T16:12:32Z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