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5.png" ContentType="image/png"/>
  <Override PartName="/word/media/rId45.png" ContentType="image/png"/>
  <Override PartName="/word/media/rId129.png" ContentType="image/png"/>
  <Override PartName="/word/media/rId133.png" ContentType="image/png"/>
  <Override PartName="/word/media/rId117.png" ContentType="image/png"/>
  <Override PartName="/word/media/rId121.png" ContentType="image/png"/>
  <Override PartName="/word/media/rId103.png" ContentType="image/png"/>
  <Override PartName="/word/media/rId107.png" ContentType="image/png"/>
  <Override PartName="/word/media/rId62.png" ContentType="image/png"/>
  <Override PartName="/word/media/rId88.png" ContentType="image/png"/>
  <Override PartName="/word/media/rId92.png" ContentType="image/png"/>
  <Override PartName="/word/media/rId78.png" ContentType="image/png"/>
  <Override PartName="/word/media/rId7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42"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andre\AppData\Local\App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Dashboard</w:t>
            </w:r>
          </w:p>
        </w:tc>
      </w:tr>
      <w:tr>
        <w:trPr>
          <w:cantSplit/>
        </w:trPr>
        <w:tc>
          <w:tcPr>
            <w:tcMar>
              <w:top w:w="108" w:type="dxa"/>
              <w:bottom w:w="108" w:type="dxa"/>
            </w:tcMar>
          </w:tcPr>
          <w:p>
            <w:pPr>
              <w:pStyle w:val="BodyText"/>
            </w:pPr>
            <w:pPr>
              <w:spacing w:before="16" w:after="16"/>
            </w:pPr>
            <w:r>
              <w:t xml:space="preserve">An interactive companion dashboard, the</w:t>
            </w:r>
            <w:r>
              <w:t xml:space="preserve"> </w:t>
            </w:r>
            <w:hyperlink r:id="rId38">
              <w:r>
                <w:rPr>
                  <w:rStyle w:val="Hyperlink"/>
                </w:rPr>
                <w:t xml:space="preserve">Drug Overdose Crisis Explorer</w:t>
              </w:r>
            </w:hyperlink>
            <w:r>
              <w:t xml:space="preserve">, accompanies this chapter. It integrates the same six data sources covered below into a single R Shiny application with on-demand data loading, interactive visualizations, and Excel downloads with clickable links to source records. All source code for both this chapter and the dashboard is publicly available on</w:t>
            </w:r>
            <w:r>
              <w:t xml:space="preserve"> </w:t>
            </w:r>
            <w:hyperlink r:id="rId39">
              <w:r>
                <w:rPr>
                  <w:rStyle w:val="Hyperlink"/>
                </w:rPr>
                <w:t xml:space="preserve">GitHub</w:t>
              </w:r>
            </w:hyperlink>
            <w:r>
              <w:t xml:space="preserve">.</w:t>
            </w:r>
          </w:p>
          <w:p/>
        </w:tc>
      </w:tr>
    </w:tbl>
    <w:bookmarkStart w:id="40"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40"/>
    <w:bookmarkStart w:id="43"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41">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42">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43"/>
    <w:bookmarkStart w:id="52" w:name="data-sources"/>
    <w:p>
      <w:pPr>
        <w:pStyle w:val="Heading2"/>
      </w:pPr>
      <w:r>
        <w:t xml:space="preserve">Data Sources</w:t>
      </w:r>
    </w:p>
    <w:p>
      <w:pPr>
        <w:pStyle w:val="FirstParagraph"/>
      </w:pPr>
      <w:r>
        <w:t xml:space="preserve">The primary datasets for analyzing drug overdose mortality in the United States are:</w:t>
      </w:r>
    </w:p>
    <w:bookmarkStart w:id="48" w:name="cdc-wonder"/>
    <w:p>
      <w:pPr>
        <w:pStyle w:val="Heading3"/>
      </w:pPr>
      <w:r>
        <w:t xml:space="preserve">CDC WONDER</w:t>
      </w:r>
    </w:p>
    <w:p>
      <w:pPr>
        <w:pStyle w:val="FirstParagraph"/>
      </w:pPr>
      <w:hyperlink r:id="rId44">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App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8"/>
    <w:bookmarkStart w:id="50"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9">
        <w:r>
          <w:rPr>
            <w:rStyle w:val="Hyperlink"/>
          </w:rPr>
          <w:t xml:space="preserve">data.cdc.gov</w:t>
        </w:r>
      </w:hyperlink>
      <w:r>
        <w:t xml:space="preserve">, including provisional drug overdose death counts updated monthly. These datasets are Socrata-hosted and accessible via API.</w:t>
      </w:r>
    </w:p>
    <w:bookmarkEnd w:id="50"/>
    <w:bookmarkStart w:id="51"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51"/>
    <w:bookmarkEnd w:id="52"/>
    <w:bookmarkStart w:id="68" w:name="accessing-the-data-with-r"/>
    <w:p>
      <w:pPr>
        <w:pStyle w:val="Heading2"/>
      </w:pPr>
      <w:r>
        <w:t xml:space="preserve">Accessing the Data with R</w:t>
      </w:r>
    </w:p>
    <w:bookmarkStart w:id="67"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53">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54">
        <w:r>
          <w:rPr>
            <w:rStyle w:val="Hyperlink"/>
          </w:rPr>
          <w:t xml:space="preserve">National Center for Health Statistics (NCHS)</w:t>
        </w:r>
      </w:hyperlink>
      <w:r>
        <w:t xml:space="preserve"> </w:t>
      </w:r>
      <w:r>
        <w:t xml:space="preserve">as part of the Vital Statistics Rapid Release (VSRR) program. This dataset presents provisional counts of drug overdose deaths based on the current flow of mortality data in the</w:t>
      </w:r>
      <w:r>
        <w:t xml:space="preserve"> </w:t>
      </w:r>
      <w:hyperlink r:id="rId55">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61"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andre\AppData\Local\Apps\Quarto\share\formats\docx\warning.png" id="5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8">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andre\AppData\Local\Apps\Quarto\share\formats\docx\tip.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53">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54">
              <w:r>
                <w:rPr>
                  <w:rStyle w:val="Hyperlink"/>
                </w:rPr>
                <w:t xml:space="preserve">Technical Notes</w:t>
              </w:r>
            </w:hyperlink>
            <w:r>
              <w:t xml:space="preserve">.</w:t>
            </w:r>
          </w:p>
          <w:p/>
        </w:tc>
      </w:tr>
    </w:tbl>
    <w:bookmarkEnd w:id="61"/>
    <w:bookmarkStart w:id="65"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63" name="Picture"/>
            <a:graphic>
              <a:graphicData uri="http://schemas.openxmlformats.org/drawingml/2006/picture">
                <pic:pic>
                  <pic:nvPicPr>
                    <pic:cNvPr descr="chapters/01-drug-overdose-crisis_files/figure-docx/overdose-time-series-1.png" id="64" name="Picture"/>
                    <pic:cNvPicPr>
                      <a:picLocks noChangeArrowheads="1" noChangeAspect="1"/>
                    </pic:cNvPicPr>
                  </pic:nvPicPr>
                  <pic:blipFill>
                    <a:blip r:embed="rId62"/>
                    <a:stretch>
                      <a:fillRect/>
                    </a:stretch>
                  </pic:blipFill>
                  <pic:spPr bwMode="auto">
                    <a:xfrm>
                      <a:off x="0" y="0"/>
                      <a:ext cx="6096000" cy="4876800"/>
                    </a:xfrm>
                    <a:prstGeom prst="rect">
                      <a:avLst/>
                    </a:prstGeom>
                    <a:noFill/>
                    <a:ln w="9525">
                      <a:noFill/>
                      <a:headEnd/>
                      <a:tailEnd/>
                    </a:ln>
                  </pic:spPr>
                </pic:pic>
              </a:graphicData>
            </a:graphic>
          </wp:inline>
        </w:drawing>
      </w:r>
    </w:p>
    <w:bookmarkEnd w:id="65"/>
    <w:bookmarkStart w:id="66" w:name="states-with-the-highest-overdose-deaths"/>
    <w:p>
      <w:pPr>
        <w:pStyle w:val="Heading4"/>
      </w:pPr>
      <w:r>
        <w:t xml:space="preserve">States with the Highest Overdose Deaths</w:t>
      </w:r>
    </w:p>
    <w:p>
      <w:pPr>
        <w:pStyle w:val="FirstParagraph"/>
      </w:pPr>
      <w:r>
        <w:t xml:space="preserve">The table below shows the five states with the highest reported drug overdose death counts in the most recent 12-month period available. For the full filterable dataset with all states and time periods,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 </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(year), </w:t>
      </w:r>
      <w:r>
        <w:rPr>
          <w:rStyle w:val="FunctionTok"/>
        </w:rPr>
        <w:t xml:space="preserve">desc</w:t>
      </w:r>
      <w:r>
        <w:rPr>
          <w:rStyle w:val="NormalTok"/>
        </w:rPr>
        <w:t xml:space="preserve">(</w:t>
      </w:r>
      <w:r>
        <w:rPr>
          <w:rStyle w:val="FunctionTok"/>
        </w:rPr>
        <w:t xml:space="preserve">match</w:t>
      </w:r>
      <w:r>
        <w:rPr>
          <w:rStyle w:val="NormalTok"/>
        </w:rPr>
        <w:t xml:space="preserve">(month, month.name)))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(data_value))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State =</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5 States by Reported Drug Overdose Deaths (Latest 12-Month Period)"</w:t>
      </w:r>
      <w:r>
        <w:br/>
      </w:r>
      <w:r>
        <w:rPr>
          <w:rStyle w:val="NormalTok"/>
        </w:rPr>
        <w:t xml:space="preserve">  )</w:t>
      </w:r>
    </w:p>
    <w:p>
      <w:pPr>
        <w:pStyle w:val="TableCaption"/>
      </w:pPr>
      <w:r>
        <w:t xml:space="preserve">Top 5 States by Reported Drug Overdose Deaths (Latest 12-Month Period)</w:t>
      </w:r>
    </w:p>
    <w:tbl>
      <w:tblPr>
        <w:tblStyle w:val="Table"/>
        <w:tblW w:type="auto" w:w="0"/>
        <w:tblLook w:firstRow="1" w:lastRow="0" w:firstColumn="0" w:lastColumn="0" w:noHBand="0" w:noVBand="0" w:val="0020"/>
        <w:tblCaption w:val="Top 5 States by Reported Drug Overdose Deaths (Latest 12-Month Period)"/>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Year</w:t>
            </w:r>
          </w:p>
        </w:tc>
        <w:tc>
          <w:tcPr/>
          <w:p>
            <w:pPr>
              <w:pStyle w:val="Compact"/>
              <w:jc w:val="left"/>
            </w:pPr>
            <w:r>
              <w:t xml:space="preserve">Month</w:t>
            </w:r>
          </w:p>
        </w:tc>
        <w:tc>
          <w:tcPr/>
          <w:p>
            <w:pPr>
              <w:pStyle w:val="Compact"/>
              <w:jc w:val="right"/>
            </w:pPr>
            <w:r>
              <w:t xml:space="preserve">Reported Deaths</w:t>
            </w:r>
          </w:p>
        </w:tc>
        <w:tc>
          <w:tcPr/>
          <w:p>
            <w:pPr>
              <w:pStyle w:val="Compact"/>
              <w:jc w:val="right"/>
            </w:pPr>
            <w:r>
              <w:t xml:space="preserve">Predicted Deaths</w:t>
            </w:r>
          </w:p>
        </w:tc>
      </w:tr>
      <w:tr>
        <w:tc>
          <w:tcPr/>
          <w:p>
            <w:pPr>
              <w:pStyle w:val="Compact"/>
              <w:jc w:val="left"/>
            </w:pPr>
            <w:r>
              <w:t xml:space="preserve">California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8,948</w:t>
            </w:r>
          </w:p>
        </w:tc>
        <w:tc>
          <w:tcPr/>
          <w:p>
            <w:pPr>
              <w:pStyle w:val="Compact"/>
              <w:jc w:val="right"/>
            </w:pPr>
            <w:r>
              <w:t xml:space="preserve">9,450</w:t>
            </w:r>
          </w:p>
        </w:tc>
      </w:tr>
      <w:tr>
        <w:tc>
          <w:tcPr/>
          <w:p>
            <w:pPr>
              <w:pStyle w:val="Compact"/>
              <w:jc w:val="left"/>
            </w:pPr>
            <w:r>
              <w:t xml:space="preserve">Texas</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4,290</w:t>
            </w:r>
          </w:p>
        </w:tc>
        <w:tc>
          <w:tcPr/>
          <w:p>
            <w:pPr>
              <w:pStyle w:val="Compact"/>
              <w:jc w:val="right"/>
            </w:pPr>
            <w:r>
              <w:t xml:space="preserve">4,421</w:t>
            </w:r>
          </w:p>
        </w:tc>
      </w:tr>
      <w:tr>
        <w:tc>
          <w:tcPr/>
          <w:p>
            <w:pPr>
              <w:pStyle w:val="Compact"/>
              <w:jc w:val="left"/>
            </w:pPr>
            <w:r>
              <w:t xml:space="preserve">Florida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4,012</w:t>
            </w:r>
          </w:p>
        </w:tc>
        <w:tc>
          <w:tcPr/>
          <w:p>
            <w:pPr>
              <w:pStyle w:val="Compact"/>
              <w:jc w:val="right"/>
            </w:pPr>
            <w:r>
              <w:t xml:space="preserve">4,080</w:t>
            </w:r>
          </w:p>
        </w:tc>
      </w:tr>
      <w:tr>
        <w:tc>
          <w:tcPr/>
          <w:p>
            <w:pPr>
              <w:pStyle w:val="Compact"/>
              <w:jc w:val="left"/>
            </w:pPr>
            <w:r>
              <w:t xml:space="preserve">Washington</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3,130</w:t>
            </w:r>
          </w:p>
        </w:tc>
        <w:tc>
          <w:tcPr/>
          <w:p>
            <w:pPr>
              <w:pStyle w:val="Compact"/>
              <w:jc w:val="right"/>
            </w:pPr>
            <w:r>
              <w:t xml:space="preserve">3,178</w:t>
            </w:r>
          </w:p>
        </w:tc>
      </w:tr>
      <w:tr>
        <w:tc>
          <w:tcPr/>
          <w:p>
            <w:pPr>
              <w:pStyle w:val="Compact"/>
              <w:jc w:val="left"/>
            </w:pPr>
            <w:r>
              <w:t xml:space="preserve">Pennsylvania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2,891</w:t>
            </w:r>
          </w:p>
        </w:tc>
        <w:tc>
          <w:tcPr/>
          <w:p>
            <w:pPr>
              <w:pStyle w:val="Compact"/>
              <w:jc w:val="right"/>
            </w:pPr>
            <w:r>
              <w:t xml:space="preserve">3,042</w:t>
            </w:r>
          </w:p>
        </w:tc>
      </w:tr>
    </w:tbl>
    <w:bookmarkEnd w:id="66"/>
    <w:bookmarkEnd w:id="67"/>
    <w:bookmarkEnd w:id="68"/>
    <w:bookmarkStart w:id="72"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9">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70">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1">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42">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2"/>
    <w:bookmarkStart w:id="85" w:name="federal-funding"/>
    <w:p>
      <w:pPr>
        <w:pStyle w:val="Heading2"/>
      </w:pPr>
      <w:r>
        <w:t xml:space="preserve">Federal Funding</w:t>
      </w:r>
    </w:p>
    <w:p>
      <w:pPr>
        <w:pStyle w:val="FirstParagraph"/>
      </w:pPr>
      <w:r>
        <w:t xml:space="preserve">Opioid response funding flows through several federal mechanisms.</w:t>
      </w:r>
    </w:p>
    <w:bookmarkStart w:id="84" w:name="usaspending"/>
    <w:p>
      <w:pPr>
        <w:pStyle w:val="Heading3"/>
      </w:pPr>
      <w:r>
        <w:t xml:space="preserve">USAspending</w:t>
      </w:r>
    </w:p>
    <w:p>
      <w:pPr>
        <w:pStyle w:val="FirstParagraph"/>
      </w:pPr>
      <w:r>
        <w:t xml:space="preserve">The</w:t>
      </w:r>
      <w:r>
        <w:t xml:space="preserve"> </w:t>
      </w:r>
      <w:hyperlink r:id="rId73">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77"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Use the</w:t>
      </w:r>
      <w:r>
        <w:t xml:space="preserve"> </w:t>
      </w:r>
      <w:hyperlink r:id="rId38">
        <w:r>
          <w:rPr>
            <w:rStyle w:val="Hyperlink"/>
          </w:rPr>
          <w:t xml:space="preserve">Drug Overdose Crisis Explorer</w:t>
        </w:r>
      </w:hyperlink>
      <w:r>
        <w:t xml:space="preserve"> </w:t>
      </w:r>
      <w:r>
        <w:t xml:space="preserve">to search, filter, and download the full award dataset.</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5" name="Picture"/>
            <a:graphic>
              <a:graphicData uri="http://schemas.openxmlformats.org/drawingml/2006/picture">
                <pic:pic>
                  <pic:nvPicPr>
                    <pic:cNvPr descr="chapters/01-drug-overdose-crisis_files/figure-docx/usaspending-wordcloud-1.png" id="76" name="Picture"/>
                    <pic:cNvPicPr>
                      <a:picLocks noChangeArrowheads="1" noChangeAspect="1"/>
                    </pic:cNvPicPr>
                  </pic:nvPicPr>
                  <pic:blipFill>
                    <a:blip r:embed="rId74"/>
                    <a:stretch>
                      <a:fillRect/>
                    </a:stretch>
                  </pic:blipFill>
                  <pic:spPr bwMode="auto">
                    <a:xfrm>
                      <a:off x="0" y="0"/>
                      <a:ext cx="6400800" cy="1828800"/>
                    </a:xfrm>
                    <a:prstGeom prst="rect">
                      <a:avLst/>
                    </a:prstGeom>
                    <a:noFill/>
                    <a:ln w="9525">
                      <a:noFill/>
                      <a:headEnd/>
                      <a:tailEnd/>
                    </a:ln>
                  </pic:spPr>
                </pic:pic>
              </a:graphicData>
            </a:graphic>
          </wp:inline>
        </w:drawing>
      </w:r>
    </w:p>
    <w:bookmarkEnd w:id="77"/>
    <w:bookmarkStart w:id="83"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9" name="Picture"/>
            <a:graphic>
              <a:graphicData uri="http://schemas.openxmlformats.org/drawingml/2006/picture">
                <pic:pic>
                  <pic:nvPicPr>
                    <pic:cNvPr descr="chapters/01-drug-overdose-crisis_files/figure-docx/usaspending-funding-timeline-1.png" id="80" name="Picture"/>
                    <pic:cNvPicPr>
                      <a:picLocks noChangeArrowheads="1" noChangeAspect="1"/>
                    </pic:cNvPicPr>
                  </pic:nvPicPr>
                  <pic:blipFill>
                    <a:blip r:embed="rId78"/>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For the full searchable and downloadable award dataset, use the</w:t>
      </w:r>
      <w:r>
        <w:t xml:space="preserve"> </w:t>
      </w:r>
      <w:hyperlink r:id="rId38">
        <w:r>
          <w:rPr>
            <w:rStyle w:val="Hyperlink"/>
          </w:rPr>
          <w:t xml:space="preserve">Drug Overdose Crisis Explorer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andre\AppData\Local\App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3"/>
    <w:bookmarkEnd w:id="84"/>
    <w:bookmarkEnd w:id="85"/>
    <w:bookmarkStart w:id="141"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0" w:name="pubmed-ncbi-e-utilities-api"/>
    <w:p>
      <w:pPr>
        <w:pStyle w:val="Heading3"/>
      </w:pPr>
      <w:r>
        <w:t xml:space="preserve">PubMed (NCBI E-utilities API)</w:t>
      </w:r>
    </w:p>
    <w:p>
      <w:pPr>
        <w:pStyle w:val="FirstParagraph"/>
      </w:pPr>
      <w:hyperlink r:id="rId86">
        <w:r>
          <w:rPr>
            <w:rStyle w:val="Hyperlink"/>
          </w:rPr>
          <w:t xml:space="preserve">PubMed</w:t>
        </w:r>
      </w:hyperlink>
      <w:r>
        <w:t xml:space="preserve"> </w:t>
      </w:r>
      <w:r>
        <w:t xml:space="preserve">indexes over 37 million biomedical citations. The</w:t>
      </w:r>
      <w:r>
        <w:t xml:space="preserve"> </w:t>
      </w:r>
      <w:hyperlink r:id="rId87">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1"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89" name="Picture"/>
            <a:graphic>
              <a:graphicData uri="http://schemas.openxmlformats.org/drawingml/2006/picture">
                <pic:pic>
                  <pic:nvPicPr>
                    <pic:cNvPr descr="chapters/01-drug-overdose-crisis_files/figure-docx/pubmed-timeline-1.png" id="90" name="Picture"/>
                    <pic:cNvPicPr>
                      <a:picLocks noChangeArrowheads="1" noChangeAspect="1"/>
                    </pic:cNvPicPr>
                  </pic:nvPicPr>
                  <pic:blipFill>
                    <a:blip r:embed="rId88"/>
                    <a:stretch>
                      <a:fillRect/>
                    </a:stretch>
                  </pic:blipFill>
                  <pic:spPr bwMode="auto">
                    <a:xfrm>
                      <a:off x="0" y="0"/>
                      <a:ext cx="6096000" cy="4876800"/>
                    </a:xfrm>
                    <a:prstGeom prst="rect">
                      <a:avLst/>
                    </a:prstGeom>
                    <a:noFill/>
                    <a:ln w="9525">
                      <a:noFill/>
                      <a:headEnd/>
                      <a:tailEnd/>
                    </a:ln>
                  </pic:spPr>
                </pic:pic>
              </a:graphicData>
            </a:graphic>
          </wp:inline>
        </w:drawing>
      </w:r>
    </w:p>
    <w:bookmarkEnd w:id="91"/>
    <w:bookmarkStart w:id="95"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Use the</w:t>
      </w:r>
      <w:r>
        <w:t xml:space="preserve"> </w:t>
      </w:r>
      <w:hyperlink r:id="rId38">
        <w:r>
          <w:rPr>
            <w:rStyle w:val="Hyperlink"/>
          </w:rPr>
          <w:t xml:space="preserve">Drug Overdose Crisis Explorer</w:t>
        </w:r>
      </w:hyperlink>
      <w:r>
        <w:t xml:space="preserve"> </w:t>
      </w:r>
      <w:r>
        <w:t xml:space="preserve">to search, filter, and download the full publication dataset.</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93" name="Picture"/>
            <a:graphic>
              <a:graphicData uri="http://schemas.openxmlformats.org/drawingml/2006/picture">
                <pic:pic>
                  <pic:nvPicPr>
                    <pic:cNvPr descr="chapters/01-drug-overdose-crisis_files/figure-docx/pubmed-wordcloud-1.png" id="94" name="Picture"/>
                    <pic:cNvPicPr>
                      <a:picLocks noChangeArrowheads="1" noChangeAspect="1"/>
                    </pic:cNvPicPr>
                  </pic:nvPicPr>
                  <pic:blipFill>
                    <a:blip r:embed="rId92"/>
                    <a:stretch>
                      <a:fillRect/>
                    </a:stretch>
                  </pic:blipFill>
                  <pic:spPr bwMode="auto">
                    <a:xfrm>
                      <a:off x="0" y="0"/>
                      <a:ext cx="6400800" cy="1828800"/>
                    </a:xfrm>
                    <a:prstGeom prst="rect">
                      <a:avLst/>
                    </a:prstGeom>
                    <a:noFill/>
                    <a:ln w="9525">
                      <a:noFill/>
                      <a:headEnd/>
                      <a:tailEnd/>
                    </a:ln>
                  </pic:spPr>
                </pic:pic>
              </a:graphicData>
            </a:graphic>
          </wp:inline>
        </w:drawing>
      </w:r>
    </w:p>
    <w:bookmarkEnd w:id="95"/>
    <w:bookmarkStart w:id="99" w:name="most-recent-publications"/>
    <w:p>
      <w:pPr>
        <w:pStyle w:val="Heading4"/>
      </w:pPr>
      <w:r>
        <w:t xml:space="preserve">Most Recent Publications</w:t>
      </w:r>
    </w:p>
    <w:p>
      <w:pPr>
        <w:pStyle w:val="FirstParagraph"/>
      </w:pPr>
      <w:r>
        <w:t xml:space="preserve">The table below shows the five most recently published opioid overdose fentanyl articles indexed in PubMed. For the full searchable and downloadable publication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articles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(pub_date))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"5 Most Recent PubMed Articles: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p>
    <w:p>
      <w:pPr>
        <w:pStyle w:val="TableCaption"/>
      </w:pPr>
      <w:r>
        <w:t xml:space="preserve">5 Most Recent PubMed Articles: Opioid Overdose Fentanyl Research (2021-2026)</w:t>
      </w:r>
    </w:p>
    <w:tbl>
      <w:tblPr>
        <w:tblStyle w:val="Table"/>
        <w:tblW w:type="pct" w:w="5000"/>
        <w:tblLayout w:type="fixed"/>
        <w:tblLook w:firstRow="1" w:lastRow="0" w:firstColumn="0" w:lastColumn="0" w:noHBand="0" w:noVBand="0" w:val="0020"/>
        <w:tblCaption w:val="5 Most Recent PubMed Articles: Opioid Overdose Fentanyl Research (2021-2026)"/>
      </w:tblPr>
      <w:tblGrid>
        <w:gridCol w:w="283"/>
        <w:gridCol w:w="5805"/>
        <w:gridCol w:w="1293"/>
        <w:gridCol w:w="536"/>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Publication Date</w:t>
            </w:r>
          </w:p>
        </w:tc>
      </w:tr>
      <w:tr>
        <w:tc>
          <w:tcPr/>
          <w:p>
            <w:pPr>
              <w:pStyle w:val="Compact"/>
              <w:jc w:val="left"/>
            </w:pPr>
            <w:r>
              <w:t xml:space="preserve">41704197</w:t>
            </w:r>
          </w:p>
        </w:tc>
        <w:tc>
          <w:tcPr/>
          <w:p>
            <w:pPr>
              <w:pStyle w:val="Compact"/>
              <w:jc w:val="left"/>
            </w:pPr>
            <w:r>
              <w:t xml:space="preserve">A Review of Alpha-2 Adrenergic Agents Implicated in Opioid Use Disorder.</w:t>
            </w:r>
          </w:p>
        </w:tc>
        <w:tc>
          <w:tcPr/>
          <w:p>
            <w:pPr>
              <w:pStyle w:val="Compact"/>
              <w:jc w:val="left"/>
            </w:pPr>
            <w:r>
              <w:t xml:space="preserve">ACS chemical neuroscience</w:t>
            </w:r>
          </w:p>
        </w:tc>
        <w:tc>
          <w:tcPr/>
          <w:p>
            <w:pPr>
              <w:pStyle w:val="Compact"/>
              <w:jc w:val="left"/>
            </w:pPr>
            <w:r>
              <w:t xml:space="preserve">2026 Mar 4</w:t>
            </w:r>
          </w:p>
        </w:tc>
      </w:tr>
      <w:tr>
        <w:tc>
          <w:tcPr/>
          <w:p>
            <w:pPr>
              <w:pStyle w:val="Compact"/>
              <w:jc w:val="left"/>
            </w:pPr>
            <w:r>
              <w:t xml:space="preserve">41488161</w:t>
            </w:r>
          </w:p>
        </w:tc>
        <w:tc>
          <w:tcPr/>
          <w:p>
            <w:pPr>
              <w:pStyle w:val="Compact"/>
              <w:jc w:val="left"/>
            </w:pPr>
            <w:r>
              <w:t xml:space="preserve">Characterizing patterns of opioid and stimulant use by route and associations with non-fatal overdose and xylazine use in people who have injected drugs from Baltimore, MD, 2023-2024.</w:t>
            </w:r>
          </w:p>
        </w:tc>
        <w:tc>
          <w:tcPr/>
          <w:p>
            <w:pPr>
              <w:pStyle w:val="Compact"/>
              <w:jc w:val="left"/>
            </w:pPr>
            <w:r>
              <w:t xml:space="preserve">Drug and alcohol dependence reports</w:t>
            </w:r>
          </w:p>
        </w:tc>
        <w:tc>
          <w:tcPr/>
          <w:p>
            <w:pPr>
              <w:pStyle w:val="Compact"/>
              <w:jc w:val="left"/>
            </w:pPr>
            <w:r>
              <w:t xml:space="preserve">2026 Mar</w:t>
            </w:r>
          </w:p>
        </w:tc>
      </w:tr>
      <w:tr>
        <w:tc>
          <w:tcPr/>
          <w:p>
            <w:pPr>
              <w:pStyle w:val="Compact"/>
              <w:jc w:val="left"/>
            </w:pPr>
            <w:r>
              <w:t xml:space="preserve">41261059</w:t>
            </w:r>
          </w:p>
        </w:tc>
        <w:tc>
          <w:tcPr/>
          <w:p>
            <w:pPr>
              <w:pStyle w:val="Compact"/>
              <w:jc w:val="left"/>
            </w:pPr>
            <w:r>
              <w:t xml:space="preserve">Repeated-dose behavioral intervention to reduce opioid overdose among overdose survivors with opioid use disorder: A two-site phase III randomized controlled trial.</w:t>
            </w:r>
          </w:p>
        </w:tc>
        <w:tc>
          <w:tcPr/>
          <w:p>
            <w:pPr>
              <w:pStyle w:val="Compact"/>
              <w:jc w:val="left"/>
            </w:pPr>
            <w:r>
              <w:t xml:space="preserve">Addiction (Abingdon, England)</w:t>
            </w:r>
          </w:p>
        </w:tc>
        <w:tc>
          <w:tcPr/>
          <w:p>
            <w:pPr>
              <w:pStyle w:val="Compact"/>
              <w:jc w:val="left"/>
            </w:pPr>
            <w:r>
              <w:t xml:space="preserve">2026 Mar</w:t>
            </w:r>
          </w:p>
        </w:tc>
      </w:tr>
      <w:tr>
        <w:tc>
          <w:tcPr/>
          <w:p>
            <w:pPr>
              <w:pStyle w:val="Compact"/>
              <w:jc w:val="left"/>
            </w:pPr>
            <w:r>
              <w:t xml:space="preserve">41506961</w:t>
            </w:r>
          </w:p>
        </w:tc>
        <w:tc>
          <w:tcPr/>
          <w:p>
            <w:pPr>
              <w:pStyle w:val="Compact"/>
              <w:jc w:val="left"/>
            </w:pPr>
            <w:r>
              <w:t xml:space="preserve">Dynamics of drug overdose deaths in the United States during COVID-19.</w:t>
            </w:r>
          </w:p>
        </w:tc>
        <w:tc>
          <w:tcPr/>
          <w:p>
            <w:pPr>
              <w:pStyle w:val="Compact"/>
              <w:jc w:val="left"/>
            </w:pPr>
            <w:r>
              <w:t xml:space="preserve">The International journal on drug policy</w:t>
            </w:r>
          </w:p>
        </w:tc>
        <w:tc>
          <w:tcPr/>
          <w:p>
            <w:pPr>
              <w:pStyle w:val="Compact"/>
              <w:jc w:val="left"/>
            </w:pPr>
            <w:r>
              <w:t xml:space="preserve">2026 Jan 23</w:t>
            </w:r>
          </w:p>
        </w:tc>
      </w:tr>
      <w:tr>
        <w:tc>
          <w:tcPr/>
          <w:p>
            <w:pPr>
              <w:pStyle w:val="Compact"/>
              <w:jc w:val="left"/>
            </w:pPr>
            <w:r>
              <w:t xml:space="preserve">41553198</w:t>
            </w:r>
          </w:p>
        </w:tc>
        <w:tc>
          <w:tcPr/>
          <w:p>
            <w:pPr>
              <w:pStyle w:val="Compact"/>
              <w:jc w:val="left"/>
            </w:pPr>
            <w:r>
              <w:t xml:space="preserve">Familiarity and Support: Public Perceptions of Harm Reduction Strategies in Pennsylvania.</w:t>
            </w:r>
          </w:p>
        </w:tc>
        <w:tc>
          <w:tcPr/>
          <w:p>
            <w:pPr>
              <w:pStyle w:val="Compact"/>
              <w:jc w:val="left"/>
            </w:pPr>
            <w:r>
              <w:t xml:space="preserve">Substance use &amp; misuse</w:t>
            </w:r>
          </w:p>
        </w:tc>
        <w:tc>
          <w:tcPr/>
          <w:p>
            <w:pPr>
              <w:pStyle w:val="Compact"/>
              <w:jc w:val="left"/>
            </w:pPr>
            <w:r>
              <w:t xml:space="preserve">2026 Jan 18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andre\AppData\Local\Apps\Quarto\share\formats\docx\tip.png" id="9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98">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99"/>
    <w:bookmarkEnd w:id="100"/>
    <w:bookmarkStart w:id="114" w:name="nih-reporter-funded-research-projects"/>
    <w:p>
      <w:pPr>
        <w:pStyle w:val="Heading3"/>
      </w:pPr>
      <w:r>
        <w:t xml:space="preserve">NIH RePORTER (Funded Research Projects)</w:t>
      </w:r>
    </w:p>
    <w:p>
      <w:pPr>
        <w:pStyle w:val="FirstParagraph"/>
      </w:pPr>
      <w:hyperlink r:id="rId101">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02">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$588,502,985</w:t>
      </w:r>
      <w:r>
        <w:t xml:space="preserve"> </w:t>
      </w:r>
      <w:r>
        <w:t xml:space="preserve">in total funding.</w:t>
      </w:r>
    </w:p>
    <w:bookmarkStart w:id="106"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04" name="Picture"/>
            <a:graphic>
              <a:graphicData uri="http://schemas.openxmlformats.org/drawingml/2006/picture">
                <pic:pic>
                  <pic:nvPicPr>
                    <pic:cNvPr descr="chapters/01-drug-overdose-crisis_files/figure-docx/nih-reporter-timeline-1.png" id="105" name="Picture"/>
                    <pic:cNvPicPr>
                      <a:picLocks noChangeArrowheads="1" noChangeAspect="1"/>
                    </pic:cNvPicPr>
                  </pic:nvPicPr>
                  <pic:blipFill>
                    <a:blip r:embed="rId103"/>
                    <a:stretch>
                      <a:fillRect/>
                    </a:stretch>
                  </pic:blipFill>
                  <pic:spPr bwMode="auto">
                    <a:xfrm>
                      <a:off x="0" y="0"/>
                      <a:ext cx="6096000" cy="4876800"/>
                    </a:xfrm>
                    <a:prstGeom prst="rect">
                      <a:avLst/>
                    </a:prstGeom>
                    <a:noFill/>
                    <a:ln w="9525">
                      <a:noFill/>
                      <a:headEnd/>
                      <a:tailEnd/>
                    </a:ln>
                  </pic:spPr>
                </pic:pic>
              </a:graphicData>
            </a:graphic>
          </wp:inline>
        </w:drawing>
      </w:r>
    </w:p>
    <w:bookmarkEnd w:id="106"/>
    <w:bookmarkStart w:id="110"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Use the</w:t>
      </w:r>
      <w:r>
        <w:t xml:space="preserve"> </w:t>
      </w:r>
      <w:hyperlink r:id="rId38">
        <w:r>
          <w:rPr>
            <w:rStyle w:val="Hyperlink"/>
          </w:rPr>
          <w:t xml:space="preserve">Drug Overdose Crisis Explorer</w:t>
        </w:r>
      </w:hyperlink>
      <w:r>
        <w:t xml:space="preserve"> </w:t>
      </w:r>
      <w:r>
        <w:t xml:space="preserve">to search, filter, and download the full project dataset.</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8" name="Picture"/>
            <a:graphic>
              <a:graphicData uri="http://schemas.openxmlformats.org/drawingml/2006/picture">
                <pic:pic>
                  <pic:nvPicPr>
                    <pic:cNvPr descr="chapters/01-drug-overdose-crisis_files/figure-docx/nih-reporter-wordcloud-1.png" id="109" name="Picture"/>
                    <pic:cNvPicPr>
                      <a:picLocks noChangeArrowheads="1" noChangeAspect="1"/>
                    </pic:cNvPicPr>
                  </pic:nvPicPr>
                  <pic:blipFill>
                    <a:blip r:embed="rId107"/>
                    <a:stretch>
                      <a:fillRect/>
                    </a:stretch>
                  </pic:blipFill>
                  <pic:spPr bwMode="auto">
                    <a:xfrm>
                      <a:off x="0" y="0"/>
                      <a:ext cx="6400800" cy="1828800"/>
                    </a:xfrm>
                    <a:prstGeom prst="rect">
                      <a:avLst/>
                    </a:prstGeom>
                    <a:noFill/>
                    <a:ln w="9525">
                      <a:noFill/>
                      <a:headEnd/>
                      <a:tailEnd/>
                    </a:ln>
                  </pic:spPr>
                </pic:pic>
              </a:graphicData>
            </a:graphic>
          </wp:inline>
        </w:drawing>
      </w:r>
    </w:p>
    <w:bookmarkEnd w:id="110"/>
    <w:bookmarkStart w:id="113" w:name="highest-funded-projects"/>
    <w:p>
      <w:pPr>
        <w:pStyle w:val="Heading4"/>
      </w:pPr>
      <w:r>
        <w:t xml:space="preserve">Highest-Funded Projects</w:t>
      </w:r>
    </w:p>
    <w:p>
      <w:pPr>
        <w:pStyle w:val="FirstParagraph"/>
      </w:pPr>
      <w:r>
        <w:t xml:space="preserve">The table below shows the five largest NIH-funded opioid overdose research projects by award amount. For the full searchable and downloadable project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projects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project_num,</w:t>
      </w:r>
      <w:r>
        <w:br/>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NIH-Funded Opioid Overdose Research Projects by Award Amount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NIH-Funded Opioid Overdose Research Projects by Award Amount (2022-2026)</w:t>
      </w:r>
    </w:p>
    <w:tbl>
      <w:tblPr>
        <w:tblStyle w:val="Table"/>
        <w:tblW w:type="pct" w:w="5000"/>
        <w:tblLayout w:type="fixed"/>
        <w:tblLook w:firstRow="1" w:lastRow="0" w:firstColumn="0" w:lastColumn="0" w:noHBand="0" w:noVBand="0" w:val="0020"/>
        <w:tblCaption w:val="Top 5 NIH-Funded Opioid Overdose Research Projects by Award Amount (2022-2026)"/>
      </w:tblPr>
      <w:tblGrid>
        <w:gridCol w:w="669"/>
        <w:gridCol w:w="446"/>
        <w:gridCol w:w="4685"/>
        <w:gridCol w:w="669"/>
        <w:gridCol w:w="966"/>
        <w:gridCol w:w="483"/>
      </w:tblGrid>
      <w:tr>
        <w:trPr>
          <w:tblHeader w:val="on"/>
        </w:trPr>
        <w:tc>
          <w:tcPr/>
          <w:p>
            <w:pPr>
              <w:pStyle w:val="Compact"/>
              <w:jc w:val="left"/>
            </w:pPr>
            <w:r>
              <w:t xml:space="preserve">Project Number</w:t>
            </w:r>
          </w:p>
        </w:tc>
        <w:tc>
          <w:tcPr/>
          <w:p>
            <w:pPr>
              <w:pStyle w:val="Compact"/>
              <w:jc w:val="right"/>
            </w:pPr>
            <w:r>
              <w:t xml:space="preserve">Fiscal Year</w:t>
            </w:r>
          </w:p>
        </w:tc>
        <w:tc>
          <w:tcPr/>
          <w:p>
            <w:pPr>
              <w:pStyle w:val="Compact"/>
              <w:jc w:val="left"/>
            </w:pPr>
            <w:r>
              <w:t xml:space="preserve">Title</w:t>
            </w:r>
          </w:p>
        </w:tc>
        <w:tc>
          <w:tcPr/>
          <w:p>
            <w:pPr>
              <w:pStyle w:val="Compact"/>
              <w:jc w:val="left"/>
            </w:pPr>
            <w:r>
              <w:t xml:space="preserve">PI</w:t>
            </w:r>
          </w:p>
        </w:tc>
        <w:tc>
          <w:tcPr/>
          <w:p>
            <w:pPr>
              <w:pStyle w:val="Compact"/>
              <w:jc w:val="left"/>
            </w:pPr>
            <w:r>
              <w:t xml:space="preserve">Organization</w:t>
            </w:r>
          </w:p>
        </w:tc>
        <w:tc>
          <w:tcPr/>
          <w:p>
            <w:pPr>
              <w:pStyle w:val="Compact"/>
              <w:jc w:val="right"/>
            </w:pPr>
            <w:r>
              <w:t xml:space="preserve">Award Amount</w:t>
            </w:r>
          </w:p>
        </w:tc>
      </w:tr>
      <w:tr>
        <w:tc>
          <w:tcPr/>
          <w:p>
            <w:pPr>
              <w:pStyle w:val="Compact"/>
              <w:jc w:val="left"/>
            </w:pPr>
            <w:r>
              <w:t xml:space="preserve">3UG1DA015831-24S1</w:t>
            </w:r>
          </w:p>
        </w:tc>
        <w:tc>
          <w:tcPr/>
          <w:p>
            <w:pPr>
              <w:pStyle w:val="Compact"/>
              <w:jc w:val="right"/>
            </w:pPr>
            <w:r>
              <w:t xml:space="preserve">2,025</w:t>
            </w:r>
          </w:p>
        </w:tc>
        <w:tc>
          <w:tcPr/>
          <w:p>
            <w:pPr>
              <w:pStyle w:val="Compact"/>
              <w:jc w:val="left"/>
            </w:pPr>
            <w:r>
              <w:t xml:space="preserve">CTN New England Consortium Node</w:t>
            </w:r>
          </w:p>
        </w:tc>
        <w:tc>
          <w:tcPr/>
          <w:p>
            <w:pPr>
              <w:pStyle w:val="Compact"/>
              <w:jc w:val="left"/>
            </w:pPr>
            <w:r>
              <w:t xml:space="preserve">Gail D’Onofrio</w:t>
            </w:r>
          </w:p>
        </w:tc>
        <w:tc>
          <w:tcPr/>
          <w:p>
            <w:pPr>
              <w:pStyle w:val="Compact"/>
              <w:jc w:val="left"/>
            </w:pPr>
            <w:r>
              <w:t xml:space="preserve">YALE UNIVERSITY</w:t>
            </w:r>
          </w:p>
        </w:tc>
        <w:tc>
          <w:tcPr/>
          <w:p>
            <w:pPr>
              <w:pStyle w:val="Compact"/>
              <w:jc w:val="right"/>
            </w:pPr>
            <w:r>
              <w:t xml:space="preserve">9,763,440</w:t>
            </w:r>
          </w:p>
        </w:tc>
      </w:tr>
      <w:tr>
        <w:tc>
          <w:tcPr/>
          <w:p>
            <w:pPr>
              <w:pStyle w:val="Compact"/>
              <w:jc w:val="left"/>
            </w:pPr>
            <w:r>
              <w:t xml:space="preserve">5UM1DA049406-04</w:t>
            </w:r>
          </w:p>
        </w:tc>
        <w:tc>
          <w:tcPr/>
          <w:p>
            <w:pPr>
              <w:pStyle w:val="Compact"/>
              <w:jc w:val="right"/>
            </w:pPr>
            <w:r>
              <w:t xml:space="preserve">2,022</w:t>
            </w:r>
          </w:p>
        </w:tc>
        <w:tc>
          <w:tcPr/>
          <w:p>
            <w:pPr>
              <w:pStyle w:val="Compact"/>
              <w:jc w:val="left"/>
            </w:pPr>
            <w:r>
              <w:t xml:space="preserve">Kentucky CAN HEAL (Communities and Networks Helping End Addiction Long-term)</w:t>
            </w:r>
          </w:p>
        </w:tc>
        <w:tc>
          <w:tcPr/>
          <w:p>
            <w:pPr>
              <w:pStyle w:val="Compact"/>
              <w:jc w:val="left"/>
            </w:pPr>
            <w:r>
              <w:t xml:space="preserve">Sharon L. Walsh</w:t>
            </w:r>
          </w:p>
        </w:tc>
        <w:tc>
          <w:tcPr/>
          <w:p>
            <w:pPr>
              <w:pStyle w:val="Compact"/>
              <w:jc w:val="left"/>
            </w:pPr>
            <w:r>
              <w:t xml:space="preserve">UNIVERSITY OF KENTUCKY</w:t>
            </w:r>
          </w:p>
        </w:tc>
        <w:tc>
          <w:tcPr/>
          <w:p>
            <w:pPr>
              <w:pStyle w:val="Compact"/>
              <w:jc w:val="right"/>
            </w:pPr>
            <w:r>
              <w:t xml:space="preserve">8,590,000</w:t>
            </w:r>
          </w:p>
        </w:tc>
      </w:tr>
      <w:tr>
        <w:tc>
          <w:tcPr/>
          <w:p>
            <w:pPr>
              <w:pStyle w:val="Compact"/>
              <w:jc w:val="left"/>
            </w:pPr>
            <w:r>
              <w:t xml:space="preserve">1UG3DA057850-01</w:t>
            </w:r>
          </w:p>
        </w:tc>
        <w:tc>
          <w:tcPr/>
          <w:p>
            <w:pPr>
              <w:pStyle w:val="Compact"/>
              <w:jc w:val="right"/>
            </w:pPr>
            <w:r>
              <w:t xml:space="preserve">2,022</w:t>
            </w:r>
          </w:p>
        </w:tc>
        <w:tc>
          <w:tcPr/>
          <w:p>
            <w:pPr>
              <w:pStyle w:val="Compact"/>
              <w:jc w:val="left"/>
            </w:pPr>
            <w:r>
              <w:t xml:space="preserve">Development of a monoclonal antibody to reverse overdose from fentanyl and its analogs: from manufacturing to clinical trials</w:t>
            </w:r>
          </w:p>
        </w:tc>
        <w:tc>
          <w:tcPr/>
          <w:p>
            <w:pPr>
              <w:pStyle w:val="Compact"/>
              <w:jc w:val="left"/>
            </w:pPr>
            <w:r>
              <w:t xml:space="preserve">SANDRA D COMER</w:t>
            </w:r>
          </w:p>
        </w:tc>
        <w:tc>
          <w:tcPr/>
          <w:p>
            <w:pPr>
              <w:pStyle w:val="Compact"/>
              <w:jc w:val="left"/>
            </w:pPr>
            <w:r>
              <w:t xml:space="preserve">UNIVERSITY OF WASHINGTON</w:t>
            </w:r>
          </w:p>
        </w:tc>
        <w:tc>
          <w:tcPr/>
          <w:p>
            <w:pPr>
              <w:pStyle w:val="Compact"/>
              <w:jc w:val="right"/>
            </w:pPr>
            <w:r>
              <w:t xml:space="preserve">8,267,350</w:t>
            </w:r>
          </w:p>
        </w:tc>
      </w:tr>
      <w:tr>
        <w:tc>
          <w:tcPr/>
          <w:p>
            <w:pPr>
              <w:pStyle w:val="Compact"/>
              <w:jc w:val="left"/>
            </w:pPr>
            <w:r>
              <w:t xml:space="preserve">5UM1DA049412-04</w:t>
            </w:r>
          </w:p>
        </w:tc>
        <w:tc>
          <w:tcPr/>
          <w:p>
            <w:pPr>
              <w:pStyle w:val="Compact"/>
              <w:jc w:val="right"/>
            </w:pPr>
            <w:r>
              <w:t xml:space="preserve">2,022</w:t>
            </w:r>
          </w:p>
        </w:tc>
        <w:tc>
          <w:tcPr/>
          <w:p>
            <w:pPr>
              <w:pStyle w:val="Compact"/>
              <w:jc w:val="left"/>
            </w:pPr>
            <w:r>
              <w:t xml:space="preserve">MassHEAL - Reducing overdose deaths by 40% (2019-2023)</w:t>
            </w:r>
          </w:p>
        </w:tc>
        <w:tc>
          <w:tcPr/>
          <w:p>
            <w:pPr>
              <w:pStyle w:val="Compact"/>
              <w:jc w:val="left"/>
            </w:pPr>
            <w:r>
              <w:t xml:space="preserve">JEFFREY H. SAMET</w:t>
            </w:r>
          </w:p>
        </w:tc>
        <w:tc>
          <w:tcPr/>
          <w:p>
            <w:pPr>
              <w:pStyle w:val="Compact"/>
              <w:jc w:val="left"/>
            </w:pPr>
            <w:r>
              <w:t xml:space="preserve">BOSTON MEDICAL CENTER</w:t>
            </w:r>
          </w:p>
        </w:tc>
        <w:tc>
          <w:tcPr/>
          <w:p>
            <w:pPr>
              <w:pStyle w:val="Compact"/>
              <w:jc w:val="right"/>
            </w:pPr>
            <w:r>
              <w:t xml:space="preserve">7,230,000</w:t>
            </w:r>
          </w:p>
        </w:tc>
      </w:tr>
      <w:tr>
        <w:tc>
          <w:tcPr/>
          <w:p>
            <w:pPr>
              <w:pStyle w:val="Compact"/>
              <w:jc w:val="left"/>
            </w:pPr>
            <w:r>
              <w:t xml:space="preserve">5U01DA059791-02</w:t>
            </w:r>
          </w:p>
        </w:tc>
        <w:tc>
          <w:tcPr/>
          <w:p>
            <w:pPr>
              <w:pStyle w:val="Compact"/>
              <w:jc w:val="right"/>
            </w:pPr>
            <w:r>
              <w:t xml:space="preserve">2,025</w:t>
            </w:r>
          </w:p>
        </w:tc>
        <w:tc>
          <w:tcPr/>
          <w:p>
            <w:pPr>
              <w:pStyle w:val="Compact"/>
              <w:jc w:val="left"/>
            </w:pPr>
            <w:r>
              <w:t xml:space="preserve">PF614-MPAR: clinical development of opioid with oral overdose protection</w:t>
            </w:r>
          </w:p>
        </w:tc>
        <w:tc>
          <w:tcPr/>
          <w:p>
            <w:pPr>
              <w:pStyle w:val="Compact"/>
              <w:jc w:val="left"/>
            </w:pPr>
            <w:r>
              <w:t xml:space="preserve">Lynn Kirkpatrick</w:t>
            </w:r>
          </w:p>
        </w:tc>
        <w:tc>
          <w:tcPr/>
          <w:p>
            <w:pPr>
              <w:pStyle w:val="Compact"/>
              <w:jc w:val="left"/>
            </w:pPr>
            <w:r>
              <w:t xml:space="preserve">ENSYSCE BIOSCIENCES, INC.</w:t>
            </w:r>
          </w:p>
        </w:tc>
        <w:tc>
          <w:tcPr/>
          <w:p>
            <w:pPr>
              <w:pStyle w:val="Compact"/>
              <w:jc w:val="right"/>
            </w:pPr>
            <w:r>
              <w:t xml:space="preserve">5,288,921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andre\AppData\Local\Apps\Quarto\share\formats\docx\note.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13"/>
    <w:bookmarkEnd w:id="114"/>
    <w:bookmarkStart w:id="126" w:name="europe-pmc-open-access-literature"/>
    <w:p>
      <w:pPr>
        <w:pStyle w:val="Heading3"/>
      </w:pPr>
      <w:r>
        <w:t xml:space="preserve">Europe PMC (Open Access Literature)</w:t>
      </w:r>
    </w:p>
    <w:p>
      <w:pPr>
        <w:pStyle w:val="FirstParagraph"/>
      </w:pPr>
      <w:hyperlink r:id="rId115">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16">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7,100</w:t>
      </w:r>
      <w:r>
        <w:t xml:space="preserve"> </w:t>
      </w:r>
      <w:r>
        <w:t xml:space="preserve">results.</w:t>
      </w:r>
      <w:r>
        <w:t xml:space="preserve"> </w:t>
      </w:r>
      <w:r>
        <w:rPr>
          <w:b/>
          <w:bCs/>
        </w:rPr>
        <w:t xml:space="preserve">7,100</w:t>
      </w:r>
      <w:r>
        <w:t xml:space="preserve"> </w:t>
      </w:r>
      <w:r>
        <w:t xml:space="preserve">articles were retrieved, of which</w:t>
      </w:r>
      <w:r>
        <w:t xml:space="preserve"> </w:t>
      </w:r>
      <w:r>
        <w:rPr>
          <w:b/>
          <w:bCs/>
        </w:rPr>
        <w:t xml:space="preserve">4505</w:t>
      </w:r>
      <w:r>
        <w:t xml:space="preserve"> </w:t>
      </w:r>
      <w:r>
        <w:t xml:space="preserve">are open access.</w:t>
      </w:r>
    </w:p>
    <w:bookmarkStart w:id="120"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18" name="Picture"/>
            <a:graphic>
              <a:graphicData uri="http://schemas.openxmlformats.org/drawingml/2006/picture">
                <pic:pic>
                  <pic:nvPicPr>
                    <pic:cNvPr descr="chapters/01-drug-overdose-crisis_files/figure-docx/europe-pmc-timeline-1.png" id="119" name="Picture"/>
                    <pic:cNvPicPr>
                      <a:picLocks noChangeArrowheads="1" noChangeAspect="1"/>
                    </pic:cNvPicPr>
                  </pic:nvPicPr>
                  <pic:blipFill>
                    <a:blip r:embed="rId117"/>
                    <a:stretch>
                      <a:fillRect/>
                    </a:stretch>
                  </pic:blipFill>
                  <pic:spPr bwMode="auto">
                    <a:xfrm>
                      <a:off x="0" y="0"/>
                      <a:ext cx="6096000" cy="4876800"/>
                    </a:xfrm>
                    <a:prstGeom prst="rect">
                      <a:avLst/>
                    </a:prstGeom>
                    <a:noFill/>
                    <a:ln w="9525">
                      <a:noFill/>
                      <a:headEnd/>
                      <a:tailEnd/>
                    </a:ln>
                  </pic:spPr>
                </pic:pic>
              </a:graphicData>
            </a:graphic>
          </wp:inline>
        </w:drawing>
      </w:r>
    </w:p>
    <w:bookmarkEnd w:id="120"/>
    <w:bookmarkStart w:id="124"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Use the</w:t>
      </w:r>
      <w:r>
        <w:t xml:space="preserve"> </w:t>
      </w:r>
      <w:hyperlink r:id="rId38">
        <w:r>
          <w:rPr>
            <w:rStyle w:val="Hyperlink"/>
          </w:rPr>
          <w:t xml:space="preserve">Drug Overdose Crisis Explorer</w:t>
        </w:r>
      </w:hyperlink>
      <w:r>
        <w:t xml:space="preserve"> </w:t>
      </w:r>
      <w:r>
        <w:t xml:space="preserve">to search, filter, and download the full article dataset.</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22" name="Picture"/>
            <a:graphic>
              <a:graphicData uri="http://schemas.openxmlformats.org/drawingml/2006/picture">
                <pic:pic>
                  <pic:nvPicPr>
                    <pic:cNvPr descr="chapters/01-drug-overdose-crisis_files/figure-docx/europe-pmc-wordcloud-1.png" id="123" name="Picture"/>
                    <pic:cNvPicPr>
                      <a:picLocks noChangeArrowheads="1" noChangeAspect="1"/>
                    </pic:cNvPicPr>
                  </pic:nvPicPr>
                  <pic:blipFill>
                    <a:blip r:embed="rId121"/>
                    <a:stretch>
                      <a:fillRect/>
                    </a:stretch>
                  </pic:blipFill>
                  <pic:spPr bwMode="auto">
                    <a:xfrm>
                      <a:off x="0" y="0"/>
                      <a:ext cx="6400800" cy="1828800"/>
                    </a:xfrm>
                    <a:prstGeom prst="rect">
                      <a:avLst/>
                    </a:prstGeom>
                    <a:noFill/>
                    <a:ln w="9525">
                      <a:noFill/>
                      <a:headEnd/>
                      <a:tailEnd/>
                    </a:ln>
                  </pic:spPr>
                </pic:pic>
              </a:graphicData>
            </a:graphic>
          </wp:inline>
        </w:drawing>
      </w:r>
    </w:p>
    <w:bookmarkEnd w:id="124"/>
    <w:bookmarkStart w:id="125" w:name="most-cited-articles"/>
    <w:p>
      <w:pPr>
        <w:pStyle w:val="Heading4"/>
      </w:pPr>
      <w:r>
        <w:t xml:space="preserve">Most-Cited Articles</w:t>
      </w:r>
    </w:p>
    <w:p>
      <w:pPr>
        <w:pStyle w:val="FirstParagraph"/>
      </w:pPr>
      <w:r>
        <w:t xml:space="preserve">The table below shows the five most-cited opioid overdose fentanyl articles indexed in Europe PMC. For the full searchable and downloadable article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(cited_by_count)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Cited By</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Most-Cited Articles: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Most-Cited Articles: Opioid Overdose Fentanyl Research (2021-2026)</w:t>
      </w:r>
    </w:p>
    <w:tbl>
      <w:tblPr>
        <w:tblStyle w:val="Table"/>
        <w:tblW w:type="pct" w:w="5000"/>
        <w:tblLayout w:type="fixed"/>
        <w:tblLook w:firstRow="1" w:lastRow="0" w:firstColumn="0" w:lastColumn="0" w:noHBand="0" w:noVBand="0" w:val="0020"/>
        <w:tblCaption w:val="Top 5 Most-Cited Articles: Opioid Overdose Fentanyl Research (2021-2026)"/>
      </w:tblPr>
      <w:tblGrid>
        <w:gridCol w:w="434"/>
        <w:gridCol w:w="5843"/>
        <w:gridCol w:w="386"/>
        <w:gridCol w:w="241"/>
        <w:gridCol w:w="579"/>
        <w:gridCol w:w="434"/>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Year</w:t>
            </w:r>
          </w:p>
        </w:tc>
        <w:tc>
          <w:tcPr/>
          <w:p>
            <w:pPr>
              <w:pStyle w:val="Compact"/>
              <w:jc w:val="left"/>
            </w:pPr>
            <w:r>
              <w:t xml:space="preserve">Open Access</w:t>
            </w:r>
          </w:p>
        </w:tc>
        <w:tc>
          <w:tcPr/>
          <w:p>
            <w:pPr>
              <w:pStyle w:val="Compact"/>
              <w:jc w:val="right"/>
            </w:pPr>
            <w:r>
              <w:t xml:space="preserve">Cited By</w:t>
            </w:r>
          </w:p>
        </w:tc>
      </w:tr>
      <w:tr>
        <w:tc>
          <w:tcPr/>
          <w:p>
            <w:pPr>
              <w:pStyle w:val="Compact"/>
              <w:jc w:val="left"/>
            </w:pPr>
            <w:r>
              <w:t xml:space="preserve">36327391</w:t>
            </w:r>
          </w:p>
        </w:tc>
        <w:tc>
          <w:tcPr/>
          <w:p>
            <w:pPr>
              <w:pStyle w:val="Compact"/>
              <w:jc w:val="left"/>
            </w:pPr>
            <w:r>
              <w:t xml:space="preserve">CDC Clinical Practice Guideline for Prescribing Opioids for Pain - United States, 2022.</w:t>
            </w:r>
          </w:p>
        </w:tc>
        <w:tc>
          <w:tcPr/>
          <w:p>
            <w:pPr>
              <w:pStyle w:val="Compact"/>
              <w:jc w:val="left"/>
            </w:pPr>
            <w:r>
              <w:t xml:space="preserve">NA</w:t>
            </w:r>
          </w:p>
        </w:tc>
        <w:tc>
          <w:tcPr/>
          <w:p>
            <w:pPr>
              <w:pStyle w:val="Compact"/>
              <w:jc w:val="left"/>
            </w:pPr>
            <w:r>
              <w:t xml:space="preserve">2022</w:t>
            </w:r>
          </w:p>
        </w:tc>
        <w:tc>
          <w:tcPr/>
          <w:p>
            <w:pPr>
              <w:pStyle w:val="Compact"/>
              <w:jc w:val="left"/>
            </w:pPr>
            <w:r>
              <w:t xml:space="preserve">Yes</w:t>
            </w:r>
          </w:p>
        </w:tc>
        <w:tc>
          <w:tcPr/>
          <w:p>
            <w:pPr>
              <w:pStyle w:val="Compact"/>
              <w:jc w:val="right"/>
            </w:pPr>
            <w:r>
              <w:t xml:space="preserve">1112</w:t>
            </w:r>
          </w:p>
        </w:tc>
      </w:tr>
      <w:tr>
        <w:tc>
          <w:tcPr/>
          <w:p>
            <w:pPr>
              <w:pStyle w:val="Compact"/>
              <w:jc w:val="left"/>
            </w:pPr>
            <w:r>
              <w:t xml:space="preserve">33571180</w:t>
            </w:r>
          </w:p>
        </w:tc>
        <w:tc>
          <w:tcPr/>
          <w:p>
            <w:pPr>
              <w:pStyle w:val="Compact"/>
              <w:jc w:val="left"/>
            </w:pPr>
            <w:r>
              <w:t xml:space="preserve">Trends and Geographic Patterns in Drug and Synthetic Opioid Overdose Deaths - United States, 2013-2019.</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772</w:t>
            </w:r>
          </w:p>
        </w:tc>
      </w:tr>
      <w:tr>
        <w:tc>
          <w:tcPr/>
          <w:p>
            <w:pPr>
              <w:pStyle w:val="Compact"/>
              <w:jc w:val="left"/>
            </w:pPr>
            <w:r>
              <w:t xml:space="preserve">33965972</w:t>
            </w:r>
          </w:p>
        </w:tc>
        <w:tc>
          <w:tcPr/>
          <w:p>
            <w:pPr>
              <w:pStyle w:val="Compact"/>
              <w:jc w:val="left"/>
            </w:pPr>
            <w:r>
              <w:t xml:space="preserve">The rise of illicit fentanyls, stimulants and the fourth wave of the opioid overdose crisis.</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640</w:t>
            </w:r>
          </w:p>
        </w:tc>
      </w:tr>
      <w:tr>
        <w:tc>
          <w:tcPr/>
          <w:p>
            <w:pPr>
              <w:pStyle w:val="Compact"/>
              <w:jc w:val="left"/>
            </w:pPr>
            <w:r>
              <w:t xml:space="preserve">33428871</w:t>
            </w:r>
          </w:p>
        </w:tc>
        <w:tc>
          <w:tcPr/>
          <w:p>
            <w:pPr>
              <w:pStyle w:val="Compact"/>
              <w:jc w:val="left"/>
            </w:pPr>
            <w:r>
              <w:t xml:space="preserve">Prevalence and risk factors for delirium in critically ill patients with COVID-19 (COVID-D): a multicentre cohort study.</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362</w:t>
            </w:r>
          </w:p>
        </w:tc>
      </w:tr>
      <w:tr>
        <w:tc>
          <w:tcPr/>
          <w:p>
            <w:pPr>
              <w:pStyle w:val="Compact"/>
              <w:jc w:val="left"/>
            </w:pPr>
            <w:r>
              <w:t xml:space="preserve">33121867</w:t>
            </w:r>
          </w:p>
        </w:tc>
        <w:tc>
          <w:tcPr/>
          <w:p>
            <w:pPr>
              <w:pStyle w:val="Compact"/>
              <w:jc w:val="left"/>
            </w:pPr>
            <w:r>
              <w:t xml:space="preserve">The economic burden of opioid use disorder and fatal opioid overdose in the United States, 2017.</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334</w:t>
            </w:r>
          </w:p>
        </w:tc>
      </w:tr>
    </w:tbl>
    <w:bookmarkEnd w:id="125"/>
    <w:bookmarkEnd w:id="126"/>
    <w:bookmarkStart w:id="140" w:name="clinicaltrials.gov-clinical-research"/>
    <w:p>
      <w:pPr>
        <w:pStyle w:val="Heading3"/>
      </w:pPr>
      <w:r>
        <w:t xml:space="preserve">ClinicalTrials.gov (Clinical Research)</w:t>
      </w:r>
    </w:p>
    <w:p>
      <w:pPr>
        <w:pStyle w:val="FirstParagraph"/>
      </w:pPr>
      <w:hyperlink r:id="rId127">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28">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32"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30" name="Picture"/>
            <a:graphic>
              <a:graphicData uri="http://schemas.openxmlformats.org/drawingml/2006/picture">
                <pic:pic>
                  <pic:nvPicPr>
                    <pic:cNvPr descr="chapters/01-drug-overdose-crisis_files/figure-docx/clinicaltrials-timeline-1.png" id="131" name="Picture"/>
                    <pic:cNvPicPr>
                      <a:picLocks noChangeArrowheads="1" noChangeAspect="1"/>
                    </pic:cNvPicPr>
                  </pic:nvPicPr>
                  <pic:blipFill>
                    <a:blip r:embed="rId129"/>
                    <a:stretch>
                      <a:fillRect/>
                    </a:stretch>
                  </pic:blipFill>
                  <pic:spPr bwMode="auto">
                    <a:xfrm>
                      <a:off x="0" y="0"/>
                      <a:ext cx="6096000" cy="4876800"/>
                    </a:xfrm>
                    <a:prstGeom prst="rect">
                      <a:avLst/>
                    </a:prstGeom>
                    <a:noFill/>
                    <a:ln w="9525">
                      <a:noFill/>
                      <a:headEnd/>
                      <a:tailEnd/>
                    </a:ln>
                  </pic:spPr>
                </pic:pic>
              </a:graphicData>
            </a:graphic>
          </wp:inline>
        </w:drawing>
      </w:r>
    </w:p>
    <w:bookmarkEnd w:id="132"/>
    <w:bookmarkStart w:id="136"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Use the</w:t>
      </w:r>
      <w:r>
        <w:t xml:space="preserve"> </w:t>
      </w:r>
      <w:hyperlink r:id="rId38">
        <w:r>
          <w:rPr>
            <w:rStyle w:val="Hyperlink"/>
          </w:rPr>
          <w:t xml:space="preserve">Drug Overdose Crisis Explorer</w:t>
        </w:r>
      </w:hyperlink>
      <w:r>
        <w:t xml:space="preserve"> </w:t>
      </w:r>
      <w:r>
        <w:t xml:space="preserve">to search, filter, and download the full trial dataset.</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4" name="Picture"/>
            <a:graphic>
              <a:graphicData uri="http://schemas.openxmlformats.org/drawingml/2006/picture">
                <pic:pic>
                  <pic:nvPicPr>
                    <pic:cNvPr descr="chapters/01-drug-overdose-crisis_files/figure-docx/clinicaltrials-wordcloud-1.png" id="135" name="Picture"/>
                    <pic:cNvPicPr>
                      <a:picLocks noChangeArrowheads="1" noChangeAspect="1"/>
                    </pic:cNvPicPr>
                  </pic:nvPicPr>
                  <pic:blipFill>
                    <a:blip r:embed="rId133"/>
                    <a:stretch>
                      <a:fillRect/>
                    </a:stretch>
                  </pic:blipFill>
                  <pic:spPr bwMode="auto">
                    <a:xfrm>
                      <a:off x="0" y="0"/>
                      <a:ext cx="6400800" cy="1828800"/>
                    </a:xfrm>
                    <a:prstGeom prst="rect">
                      <a:avLst/>
                    </a:prstGeom>
                    <a:noFill/>
                    <a:ln w="9525">
                      <a:noFill/>
                      <a:headEnd/>
                      <a:tailEnd/>
                    </a:ln>
                  </pic:spPr>
                </pic:pic>
              </a:graphicData>
            </a:graphic>
          </wp:inline>
        </w:drawing>
      </w:r>
    </w:p>
    <w:bookmarkEnd w:id="136"/>
    <w:bookmarkStart w:id="139" w:name="most-recent-trials"/>
    <w:p>
      <w:pPr>
        <w:pStyle w:val="Heading4"/>
      </w:pPr>
      <w:r>
        <w:t xml:space="preserve">Most Recent Trials</w:t>
      </w:r>
    </w:p>
    <w:p>
      <w:pPr>
        <w:pStyle w:val="FirstParagraph"/>
      </w:pPr>
      <w:r>
        <w:t xml:space="preserve">The table below shows the five most recently started opioid overdose intervention trials. For the full searchable and downloadable trial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trials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(start_date))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nct_id,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"5 Most Recent Opioid Overdose Intervention Trials"</w:t>
      </w:r>
      <w:r>
        <w:br/>
      </w:r>
      <w:r>
        <w:rPr>
          <w:rStyle w:val="NormalTok"/>
        </w:rPr>
        <w:t xml:space="preserve">  )</w:t>
      </w:r>
    </w:p>
    <w:p>
      <w:pPr>
        <w:pStyle w:val="TableCaption"/>
      </w:pPr>
      <w:r>
        <w:t xml:space="preserve">5 Most Recent Opioid Overdose Intervention Trials</w:t>
      </w:r>
    </w:p>
    <w:tbl>
      <w:tblPr>
        <w:tblStyle w:val="Table"/>
        <w:tblW w:type="pct" w:w="5000"/>
        <w:tblLayout w:type="fixed"/>
        <w:tblLook w:firstRow="1" w:lastRow="0" w:firstColumn="0" w:lastColumn="0" w:noHBand="0" w:noVBand="0" w:val="0020"/>
        <w:tblCaption w:val="5 Most Recent Opioid Overdose Intervention Trials"/>
      </w:tblPr>
      <w:tblGrid>
        <w:gridCol w:w="377"/>
        <w:gridCol w:w="5248"/>
        <w:gridCol w:w="345"/>
        <w:gridCol w:w="345"/>
        <w:gridCol w:w="1257"/>
        <w:gridCol w:w="345"/>
      </w:tblGrid>
      <w:tr>
        <w:trPr>
          <w:tblHeader w:val="on"/>
        </w:trPr>
        <w:tc>
          <w:tcPr/>
          <w:p>
            <w:pPr>
              <w:pStyle w:val="Compact"/>
              <w:jc w:val="left"/>
            </w:pPr>
            <w:r>
              <w:t xml:space="preserve">NCT ID</w:t>
            </w:r>
          </w:p>
        </w:tc>
        <w:tc>
          <w:tcPr/>
          <w:p>
            <w:pPr>
              <w:pStyle w:val="Compact"/>
              <w:jc w:val="left"/>
            </w:pPr>
            <w:r>
              <w:t xml:space="preserve">Title</w:t>
            </w:r>
          </w:p>
        </w:tc>
        <w:tc>
          <w:tcPr/>
          <w:p>
            <w:pPr>
              <w:pStyle w:val="Compact"/>
              <w:jc w:val="left"/>
            </w:pPr>
            <w:r>
              <w:t xml:space="preserve">Status</w:t>
            </w:r>
          </w:p>
        </w:tc>
        <w:tc>
          <w:tcPr/>
          <w:p>
            <w:pPr>
              <w:pStyle w:val="Compact"/>
              <w:jc w:val="left"/>
            </w:pPr>
            <w:r>
              <w:t xml:space="preserve">Start Date</w:t>
            </w:r>
          </w:p>
        </w:tc>
        <w:tc>
          <w:tcPr/>
          <w:p>
            <w:pPr>
              <w:pStyle w:val="Compact"/>
              <w:jc w:val="left"/>
            </w:pPr>
            <w:r>
              <w:t xml:space="preserve">Sponsor</w:t>
            </w:r>
          </w:p>
        </w:tc>
        <w:tc>
          <w:tcPr/>
          <w:p>
            <w:pPr>
              <w:pStyle w:val="Compact"/>
              <w:jc w:val="right"/>
            </w:pPr>
            <w:r>
              <w:t xml:space="preserve">Enrollment</w:t>
            </w:r>
          </w:p>
        </w:tc>
      </w:tr>
      <w:tr>
        <w:tc>
          <w:tcPr/>
          <w:p>
            <w:pPr>
              <w:pStyle w:val="Compact"/>
              <w:jc w:val="left"/>
            </w:pPr>
            <w:r>
              <w:t xml:space="preserve">NCT06823453</w:t>
            </w:r>
          </w:p>
        </w:tc>
        <w:tc>
          <w:tcPr/>
          <w:p>
            <w:pPr>
              <w:pStyle w:val="Compact"/>
              <w:jc w:val="left"/>
            </w:pPr>
            <w:r>
              <w:t xml:space="preserve">Reducing Overdose and Substance Use-related Stigma by Training Non-substance-using Friends and Family Members of People Who Use Opioids to Be Harm Reduction Champions</w:t>
            </w:r>
          </w:p>
        </w:tc>
        <w:tc>
          <w:tcPr/>
          <w:p>
            <w:pPr>
              <w:pStyle w:val="Compact"/>
              <w:jc w:val="left"/>
            </w:pPr>
            <w:r>
              <w:t xml:space="preserve">RECRUITING</w:t>
            </w:r>
          </w:p>
        </w:tc>
        <w:tc>
          <w:tcPr/>
          <w:p>
            <w:pPr>
              <w:pStyle w:val="Compact"/>
              <w:jc w:val="left"/>
            </w:pPr>
            <w:r>
              <w:t xml:space="preserve">2025-10-28</w:t>
            </w:r>
          </w:p>
        </w:tc>
        <w:tc>
          <w:tcPr/>
          <w:p>
            <w:pPr>
              <w:pStyle w:val="Compact"/>
              <w:jc w:val="left"/>
            </w:pPr>
            <w:r>
              <w:t xml:space="preserve">University of Illinois at Chicago</w:t>
            </w:r>
          </w:p>
        </w:tc>
        <w:tc>
          <w:tcPr/>
          <w:p>
            <w:pPr>
              <w:pStyle w:val="Compact"/>
              <w:jc w:val="right"/>
            </w:pPr>
            <w:r>
              <w:t xml:space="preserve">600</w:t>
            </w:r>
          </w:p>
        </w:tc>
      </w:tr>
      <w:tr>
        <w:tc>
          <w:tcPr/>
          <w:p>
            <w:pPr>
              <w:pStyle w:val="Compact"/>
              <w:jc w:val="left"/>
            </w:pPr>
            <w:r>
              <w:t xml:space="preserve">NCT07079241</w:t>
            </w:r>
          </w:p>
        </w:tc>
        <w:tc>
          <w:tcPr/>
          <w:p>
            <w:pPr>
              <w:pStyle w:val="Compact"/>
              <w:jc w:val="left"/>
            </w:pPr>
            <w:r>
              <w:t xml:space="preserve">A Model to Save Lives Through a Volunteer First Responder Service Providing Antidote Treatment in Opioid Overdose</w:t>
            </w:r>
          </w:p>
        </w:tc>
        <w:tc>
          <w:tcPr/>
          <w:p>
            <w:pPr>
              <w:pStyle w:val="Compact"/>
              <w:jc w:val="left"/>
            </w:pPr>
            <w:r>
              <w:t xml:space="preserve">RECRUITING</w:t>
            </w:r>
          </w:p>
        </w:tc>
        <w:tc>
          <w:tcPr/>
          <w:p>
            <w:pPr>
              <w:pStyle w:val="Compact"/>
              <w:jc w:val="left"/>
            </w:pPr>
            <w:r>
              <w:t xml:space="preserve">2025-09-01</w:t>
            </w:r>
          </w:p>
        </w:tc>
        <w:tc>
          <w:tcPr/>
          <w:p>
            <w:pPr>
              <w:pStyle w:val="Compact"/>
              <w:jc w:val="left"/>
            </w:pPr>
            <w:r>
              <w:t xml:space="preserve">Region Skane</w:t>
            </w:r>
          </w:p>
        </w:tc>
        <w:tc>
          <w:tcPr/>
          <w:p>
            <w:pPr>
              <w:pStyle w:val="Compact"/>
              <w:jc w:val="right"/>
            </w:pPr>
            <w:r>
              <w:t xml:space="preserve">1,000</w:t>
            </w:r>
          </w:p>
        </w:tc>
      </w:tr>
      <w:tr>
        <w:tc>
          <w:tcPr/>
          <w:p>
            <w:pPr>
              <w:pStyle w:val="Compact"/>
              <w:jc w:val="left"/>
            </w:pPr>
            <w:r>
              <w:t xml:space="preserve">NCT06633900</w:t>
            </w:r>
          </w:p>
        </w:tc>
        <w:tc>
          <w:tcPr/>
          <w:p>
            <w:pPr>
              <w:pStyle w:val="Compact"/>
              <w:jc w:val="left"/>
            </w:pPr>
            <w:r>
              <w:t xml:space="preserve">Naltrexone for Overdose Prevention</w:t>
            </w:r>
          </w:p>
        </w:tc>
        <w:tc>
          <w:tcPr/>
          <w:p>
            <w:pPr>
              <w:pStyle w:val="Compact"/>
              <w:jc w:val="left"/>
            </w:pPr>
            <w:r>
              <w:t xml:space="preserve">RECRUITING</w:t>
            </w:r>
          </w:p>
        </w:tc>
        <w:tc>
          <w:tcPr/>
          <w:p>
            <w:pPr>
              <w:pStyle w:val="Compact"/>
              <w:jc w:val="left"/>
            </w:pPr>
            <w:r>
              <w:t xml:space="preserve">2025-04-10</w:t>
            </w:r>
          </w:p>
        </w:tc>
        <w:tc>
          <w:tcPr/>
          <w:p>
            <w:pPr>
              <w:pStyle w:val="Compact"/>
              <w:jc w:val="left"/>
            </w:pPr>
            <w:r>
              <w:t xml:space="preserve">University of California, San Francisco</w:t>
            </w:r>
          </w:p>
        </w:tc>
        <w:tc>
          <w:tcPr/>
          <w:p>
            <w:pPr>
              <w:pStyle w:val="Compact"/>
              <w:jc w:val="right"/>
            </w:pPr>
            <w:r>
              <w:t xml:space="preserve">100</w:t>
            </w:r>
          </w:p>
        </w:tc>
      </w:tr>
      <w:tr>
        <w:tc>
          <w:tcPr/>
          <w:p>
            <w:pPr>
              <w:pStyle w:val="Compact"/>
              <w:jc w:val="left"/>
            </w:pPr>
            <w:r>
              <w:t xml:space="preserve">NCT06810076</w:t>
            </w:r>
          </w:p>
        </w:tc>
        <w:tc>
          <w:tcPr/>
          <w:p>
            <w:pPr>
              <w:pStyle w:val="Compact"/>
              <w:jc w:val="left"/>
            </w:pPr>
            <w:r>
              <w:t xml:space="preserve">Developing and Evaluating a Machine-Learning Opioid Overdose Prediction &amp; Risk-Stratification Tool in Primary Care</w:t>
            </w:r>
          </w:p>
        </w:tc>
        <w:tc>
          <w:tcPr/>
          <w:p>
            <w:pPr>
              <w:pStyle w:val="Compact"/>
              <w:jc w:val="left"/>
            </w:pPr>
            <w:r>
              <w:t xml:space="preserve">RECRUITING</w:t>
            </w:r>
          </w:p>
        </w:tc>
        <w:tc>
          <w:tcPr/>
          <w:p>
            <w:pPr>
              <w:pStyle w:val="Compact"/>
              <w:jc w:val="left"/>
            </w:pPr>
            <w:r>
              <w:t xml:space="preserve">2025-04-08</w:t>
            </w:r>
          </w:p>
        </w:tc>
        <w:tc>
          <w:tcPr/>
          <w:p>
            <w:pPr>
              <w:pStyle w:val="Compact"/>
              <w:jc w:val="left"/>
            </w:pPr>
            <w:r>
              <w:t xml:space="preserve">University of Pittsburgh</w:t>
            </w:r>
          </w:p>
        </w:tc>
        <w:tc>
          <w:tcPr/>
          <w:p>
            <w:pPr>
              <w:pStyle w:val="Compact"/>
              <w:jc w:val="right"/>
            </w:pPr>
            <w:r>
              <w:t xml:space="preserve">2,000</w:t>
            </w:r>
          </w:p>
        </w:tc>
      </w:tr>
      <w:tr>
        <w:tc>
          <w:tcPr/>
          <w:p>
            <w:pPr>
              <w:pStyle w:val="Compact"/>
              <w:jc w:val="left"/>
            </w:pPr>
            <w:r>
              <w:t xml:space="preserve">NCT06609278</w:t>
            </w:r>
          </w:p>
        </w:tc>
        <w:tc>
          <w:tcPr/>
          <w:p>
            <w:pPr>
              <w:pStyle w:val="Compact"/>
              <w:jc w:val="left"/>
            </w:pPr>
            <w:r>
              <w:t xml:space="preserve">THRIVE: Culturally AdapTed Harm Reduction Intervention</w:t>
            </w:r>
          </w:p>
        </w:tc>
        <w:tc>
          <w:tcPr/>
          <w:p>
            <w:pPr>
              <w:pStyle w:val="Compact"/>
              <w:jc w:val="left"/>
            </w:pPr>
            <w:r>
              <w:t xml:space="preserve">COMPLETED</w:t>
            </w:r>
          </w:p>
        </w:tc>
        <w:tc>
          <w:tcPr/>
          <w:p>
            <w:pPr>
              <w:pStyle w:val="Compact"/>
              <w:jc w:val="left"/>
            </w:pPr>
            <w:r>
              <w:t xml:space="preserve">2025-04-02</w:t>
            </w:r>
          </w:p>
        </w:tc>
        <w:tc>
          <w:tcPr/>
          <w:p>
            <w:pPr>
              <w:pStyle w:val="Compact"/>
              <w:jc w:val="left"/>
            </w:pPr>
            <w:r>
              <w:t xml:space="preserve">Brittany Miller-Roenigk</w:t>
            </w:r>
          </w:p>
        </w:tc>
        <w:tc>
          <w:tcPr/>
          <w:p>
            <w:pPr>
              <w:pStyle w:val="Compact"/>
              <w:jc w:val="right"/>
            </w:pPr>
            <w:r>
              <w:t xml:space="preserve">57</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andre\AppData\Local\Apps\Quarto\share\formats\docx\tip.png" id="13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39"/>
    <w:bookmarkEnd w:id="140"/>
    <w:bookmarkEnd w:id="141"/>
    <w:bookmarkEnd w:id="142"/>
    <w:bookmarkStart w:id="143" w:name="references"/>
    <w:p>
      <w:pPr>
        <w:pStyle w:val="Heading1"/>
      </w:pPr>
      <w:r>
        <w:t xml:space="preserve">References</w:t>
      </w:r>
    </w:p>
    <w:bookmarkEnd w:id="143"/>
    <w:bookmarkStart w:id="144" w:name="development-tools"/>
    <w:p>
      <w:pPr>
        <w:pStyle w:val="Heading1"/>
      </w:pPr>
      <w:r>
        <w:t xml:space="preserve">Development Tools</w:t>
      </w:r>
    </w:p>
    <w:bookmarkEnd w:id="144"/>
    <w:bookmarkStart w:id="158"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andre\AppData\Local\Apps\Quarto\share\formats\docx\note.png" id="1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56"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47">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48">
              <w:r>
                <w:rPr>
                  <w:rStyle w:val="Hyperlink"/>
                </w:rPr>
                <w:t xml:space="preserve">R</w:t>
              </w:r>
            </w:hyperlink>
            <w:r>
              <w:t xml:space="preserve"> </w:t>
            </w:r>
            <w:r>
              <w:t xml:space="preserve">/</w:t>
            </w:r>
            <w:r>
              <w:t xml:space="preserve"> </w:t>
            </w:r>
            <w:hyperlink r:id="rId149">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50">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51">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52">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53">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54">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55">
              <w:r>
                <w:rPr>
                  <w:rStyle w:val="Hyperlink"/>
                </w:rPr>
                <w:t xml:space="preserve">Tableau Public</w:t>
              </w:r>
            </w:hyperlink>
          </w:p>
        </w:tc>
        <w:tc>
          <w:tcPr/>
          <w:p>
            <w:pPr>
              <w:pStyle w:val="Compact"/>
              <w:jc w:val="left"/>
            </w:pPr>
            <w:r>
              <w:t xml:space="preserve">Interactive dashboard publishing</w:t>
            </w:r>
          </w:p>
        </w:tc>
      </w:tr>
    </w:tbl>
    <w:bookmarkEnd w:id="156"/>
    <w:bookmarkStart w:id="157"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57"/>
    <w:bookmarkEnd w:id="158"/>
    <w:bookmarkStart w:id="159" w:name="glossary"/>
    <w:p>
      <w:pPr>
        <w:pStyle w:val="Heading1"/>
      </w:pPr>
      <w:r>
        <w:t xml:space="preserve">Glossary</w:t>
      </w:r>
    </w:p>
    <w:bookmarkEnd w:id="159"/>
    <w:bookmarkStart w:id="191" w:name="glossary-1"/>
    <w:p>
      <w:pPr>
        <w:pStyle w:val="Heading1"/>
      </w:pPr>
      <w:r>
        <w:t xml:space="preserve">Glossary</w:t>
      </w:r>
    </w:p>
    <w:p>
      <w:pPr>
        <w:pStyle w:val="FirstParagraph"/>
      </w:pPr>
      <w:r>
        <w:t xml:space="preserve">Key terms used throughout this book, organized alphabetically.</w:t>
      </w:r>
    </w:p>
    <w:bookmarkStart w:id="160"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44">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27">
        <w:r>
          <w:rPr>
            <w:rStyle w:val="Hyperlink"/>
          </w:rPr>
          <w:t xml:space="preserve">clinicaltrials.gov</w:t>
        </w:r>
      </w:hyperlink>
      <w:r>
        <w:t xml:space="preserve">.</w:t>
      </w:r>
    </w:p>
    <w:bookmarkEnd w:id="160"/>
    <w:bookmarkStart w:id="161"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61"/>
    <w:bookmarkStart w:id="162"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87">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15">
        <w:r>
          <w:rPr>
            <w:rStyle w:val="Hyperlink"/>
          </w:rPr>
          <w:t xml:space="preserve">europepmc.org</w:t>
        </w:r>
      </w:hyperlink>
      <w:r>
        <w:t xml:space="preserve">.</w:t>
      </w:r>
    </w:p>
    <w:bookmarkEnd w:id="162"/>
    <w:bookmarkStart w:id="163"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63"/>
    <w:bookmarkStart w:id="164"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64"/>
    <w:bookmarkStart w:id="165"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65"/>
    <w:bookmarkStart w:id="166"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66"/>
    <w:bookmarkStart w:id="167"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67"/>
    <w:bookmarkStart w:id="168"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01">
        <w:r>
          <w:rPr>
            <w:rStyle w:val="Hyperlink"/>
          </w:rPr>
          <w:t xml:space="preserve">reporter.nih.gov</w:t>
        </w:r>
      </w:hyperlink>
      <w:r>
        <w:t xml:space="preserve">.</w:t>
      </w:r>
    </w:p>
    <w:bookmarkEnd w:id="168"/>
    <w:bookmarkStart w:id="169"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69"/>
    <w:bookmarkStart w:id="170"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86">
        <w:r>
          <w:rPr>
            <w:rStyle w:val="Hyperlink"/>
          </w:rPr>
          <w:t xml:space="preserve">pubmed.ncbi.nlm.nih.gov</w:t>
        </w:r>
      </w:hyperlink>
      <w:r>
        <w:t xml:space="preserve">.</w:t>
      </w:r>
    </w:p>
    <w:bookmarkEnd w:id="170"/>
    <w:bookmarkStart w:id="171"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71"/>
    <w:bookmarkStart w:id="172"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72"/>
    <w:bookmarkStart w:id="190"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189" w:name="refs"/>
    <w:bookmarkStart w:id="174"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73">
        <w:r>
          <w:rPr>
            <w:rStyle w:val="Hyperlink"/>
          </w:rPr>
          <w:t xml:space="preserve">https://www.cdc.gov/overdose-prevention/hcp/clinical-guidance/</w:t>
        </w:r>
      </w:hyperlink>
    </w:p>
    <w:bookmarkEnd w:id="174"/>
    <w:bookmarkStart w:id="176"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75">
        <w:r>
          <w:rPr>
            <w:rStyle w:val="Hyperlink"/>
          </w:rPr>
          <w:t xml:space="preserve">https://www.cdc.gov/overdose-prevention/reversing-overdose/index.html</w:t>
        </w:r>
      </w:hyperlink>
    </w:p>
    <w:bookmarkEnd w:id="176"/>
    <w:bookmarkStart w:id="177"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42">
        <w:r>
          <w:rPr>
            <w:rStyle w:val="Hyperlink"/>
          </w:rPr>
          <w:t xml:space="preserve">https://www.cdc.gov/overdose-prevention/data-research/facts-stats/sudors-dashboard-fatal-overdose-data.html</w:t>
        </w:r>
      </w:hyperlink>
    </w:p>
    <w:bookmarkEnd w:id="177"/>
    <w:bookmarkStart w:id="178"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70">
        <w:r>
          <w:rPr>
            <w:rStyle w:val="Hyperlink"/>
          </w:rPr>
          <w:t xml:space="preserve">https://www.cdc.gov/hepatitis-syringe-services/php/about/index.html</w:t>
        </w:r>
      </w:hyperlink>
    </w:p>
    <w:bookmarkEnd w:id="178"/>
    <w:bookmarkStart w:id="179"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41">
        <w:r>
          <w:rPr>
            <w:rStyle w:val="Hyperlink"/>
          </w:rPr>
          <w:t xml:space="preserve">https://www.cdc.gov/overdose-prevention/about/understanding-the-opioid-overdose-epidemic.html</w:t>
        </w:r>
      </w:hyperlink>
    </w:p>
    <w:bookmarkEnd w:id="179"/>
    <w:bookmarkStart w:id="180"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80"/>
    <w:bookmarkStart w:id="182"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81">
        <w:r>
          <w:rPr>
            <w:rStyle w:val="Hyperlink"/>
          </w:rPr>
          <w:t xml:space="preserve">https://www.commonwealthfund.org/blog/2025/us-overdose-deaths-remain-higher-other-countries-trend-tracking-and-harm-reduction</w:t>
        </w:r>
      </w:hyperlink>
    </w:p>
    <w:bookmarkEnd w:id="182"/>
    <w:bookmarkStart w:id="184"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83">
        <w:r>
          <w:rPr>
            <w:rStyle w:val="Hyperlink"/>
          </w:rPr>
          <w:t xml:space="preserve">https://doi.org/10.15585/mmwr.mm7325a1</w:t>
        </w:r>
      </w:hyperlink>
    </w:p>
    <w:bookmarkEnd w:id="184"/>
    <w:bookmarkStart w:id="185"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185"/>
    <w:bookmarkStart w:id="186"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186"/>
    <w:bookmarkStart w:id="188"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187">
        <w:r>
          <w:rPr>
            <w:rStyle w:val="Hyperlink"/>
          </w:rPr>
          <w:t xml:space="preserve">https://www.hhs.gov/press-room/hhs-state-tribal-opioid-response-grants-2025.html</w:t>
        </w:r>
      </w:hyperlink>
    </w:p>
    <w:bookmarkEnd w:id="188"/>
    <w:bookmarkEnd w:id="189"/>
    <w:bookmarkEnd w:id="190"/>
    <w:bookmarkEnd w:id="191"/>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62" Target="media/rId62.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3" Target="https://doi.org/10.15585/mmwr.mm7325a1"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3" Target="https://www.cdc.gov/overdose-prevention/hcp/clinical-guidance/" TargetMode="External" /><Relationship Type="http://schemas.openxmlformats.org/officeDocument/2006/relationships/hyperlink" Id="rId175"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3" Target="https://doi.org/10.15585/mmwr.mm7325a1"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3" Target="https://www.cdc.gov/overdose-prevention/hcp/clinical-guidance/" TargetMode="External" /><Relationship Type="http://schemas.openxmlformats.org/officeDocument/2006/relationships/hyperlink" Id="rId175"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2026-03-05T19:04:59Z</dcterms:created>
  <dcterms:modified xsi:type="dcterms:W3CDTF">2026-03-05T19:04:59Z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