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DD4FB9" w14:textId="3E5D90B1">
      <w:pPr>
        <w:pStyle w:val="664"/>
        <w:pBdr/>
        <w:spacing/>
        <w:ind/>
        <w:rPr>
          <w:lang w:val="en-US"/>
        </w:rPr>
      </w:pPr>
      <w:r>
        <w:rPr>
          <w:lang w:val="en-US"/>
        </w:rPr>
        <w:t xml:space="preserve">Review report </w:t>
      </w:r>
      <w:r>
        <w:rPr>
          <w:lang w:val="en-US"/>
        </w:rPr>
      </w:r>
    </w:p>
    <w:p w14:paraId="175B0AAF" w14:textId="6F8545AC">
      <w:pPr>
        <w:pBdr/>
        <w:spacing/>
        <w:ind/>
        <w:rPr/>
      </w:pPr>
      <w:r>
        <w:t xml:space="preserve">This manuscript presents a </w:t>
      </w:r>
      <w:r>
        <w:t xml:space="preserve">machine learning</w:t>
      </w:r>
      <w:r>
        <w:t xml:space="preserve"> framework that </w:t>
      </w:r>
      <w:r>
        <w:t xml:space="preserve">develops </w:t>
      </w:r>
      <w:r>
        <w:t xml:space="preserve">a surrogate model for predicting patient-specific aortic wall mechanics in ascending thoracic aortic aneurysms (ATAAs)</w:t>
      </w:r>
      <w:r>
        <w:t xml:space="preserve">, together with a data generation pipeline for ATAA surfaces</w:t>
      </w:r>
      <w:r>
        <w:t xml:space="preserve">. </w:t>
      </w:r>
      <w:r>
        <w:t xml:space="preserve">The problem addressed is relevant, and the numerical pipeline is technically sound. However, the methodological novelty is limited, and the analysis of the results remains largely descriptive, providing insufficient</w:t>
      </w:r>
      <w:r>
        <w:t xml:space="preserve"> </w:t>
      </w:r>
      <w:r>
        <w:t xml:space="preserve">insight into the observed performance. In particular, the predictive accuracy for patient-specific geometries is only moderately convincing</w:t>
      </w:r>
      <w:r>
        <w:t xml:space="preserve">, and the presentation of several figures lacks clarity and interpretability. Substantial improvements in result analysis, figure presentation, and clarification of methodological assumptions are required for the work to meet the standards of the journal. </w:t>
      </w:r>
      <w:r/>
    </w:p>
    <w:p w14:paraId="4AB10EE6" w14:textId="596874F0">
      <w:pPr>
        <w:pBdr/>
        <w:spacing/>
        <w:ind/>
        <w:rPr/>
      </w:pPr>
      <w:r>
        <w:t xml:space="preserve">For these reasons, I recommend a decision of major revision.</w:t>
      </w:r>
      <w:r/>
    </w:p>
    <w:p w14:paraId="6674E81E" w14:textId="391FF2B3">
      <w:pPr>
        <w:pBdr/>
        <w:spacing w:after="100" w:afterAutospacing="1" w:before="100" w:beforeAutospacing="1" w:line="240" w:lineRule="auto"/>
        <w:ind/>
        <w:outlineLvl w:val="2"/>
        <w:rPr>
          <w:rFonts w:eastAsia="Times New Roman" w:cs="Arial"/>
          <w:b/>
          <w:bCs/>
          <w:sz w:val="27"/>
          <w:szCs w:val="27"/>
          <w14:ligatures w14:val="none"/>
        </w:rPr>
      </w:pPr>
      <w:r>
        <w:rPr>
          <w:rFonts w:eastAsia="Times New Roman" w:cs="Arial"/>
          <w:b/>
          <w:bCs/>
          <w:sz w:val="27"/>
          <w:szCs w:val="27"/>
          <w14:ligatures w14:val="none"/>
        </w:rPr>
        <w:t xml:space="preserve">Major Comments:</w:t>
      </w:r>
      <w:r>
        <w:rPr>
          <w:rFonts w:eastAsia="Times New Roman" w:cs="Arial"/>
          <w:b/>
          <w:bCs/>
          <w:sz w:val="27"/>
          <w:szCs w:val="27"/>
          <w14:ligatures w14:val="none"/>
        </w:rPr>
      </w:r>
    </w:p>
    <w:p w14:paraId="1461F751" w14:textId="77777777">
      <w:pPr>
        <w:pStyle w:val="691"/>
        <w:numPr>
          <w:ilvl w:val="0"/>
          <w:numId w:val="0"/>
        </w:numPr>
        <w:pBdr/>
        <w:spacing w:after="100" w:afterAutospacing="1" w:before="100" w:beforeAutospacing="1" w:line="240" w:lineRule="auto"/>
        <w:ind w:hanging="357" w:left="714"/>
        <w:outlineLvl w:val="2"/>
        <w:rPr>
          <w:highlight w:val="none"/>
        </w:rPr>
      </w:pPr>
      <w:r>
        <w:t xml:space="preserve">In Section 2.4, Young’s modulus is sampled from a uniform distribution </w:t>
      </w:r>
      <m:oMath>
        <m:r>
          <w:rPr>
            <w:rFonts w:ascii="Cambria Math" w:hAnsi="Cambria Math"/>
          </w:rPr>
          <m:rPr/>
          <m:t>U(1,4)</m:t>
        </m:r>
      </m:oMath>
      <w:r>
        <w:t xml:space="preserve">MPa. What is the motivation for this choice? Is</w:t>
      </w:r>
      <w:r>
        <w:t xml:space="preserve"> this sampling intended primarily to increase the size and coverage of the training dataset, or is it meant to represent physiologically realistic variability? Given the wide uniform range assumed, how practically relevant is this random sampling strategy?</w:t>
      </w:r>
      <w:r/>
    </w:p>
    <w:p w14:paraId="12637335">
      <w:pPr>
        <w:pStyle w:val="691"/>
        <w:numPr>
          <w:ilvl w:val="0"/>
          <w:numId w:val="0"/>
        </w:numPr>
        <w:pBdr/>
        <w:spacing w:after="100" w:afterAutospacing="1" w:before="100" w:beforeAutospacing="1" w:line="240" w:lineRule="auto"/>
        <w:ind w:hanging="357" w:left="714"/>
        <w:outlineLvl w:val="2"/>
        <w:rPr/>
      </w:pPr>
      <w:r/>
      <w:r/>
      <w:r/>
    </w:p>
    <w:p w14:paraId="25794E0B">
      <w:pPr>
        <w:pStyle w:val="691"/>
        <w:numPr>
          <w:ilvl w:val="0"/>
          <w:numId w:val="0"/>
        </w:numPr>
        <w:pBdr/>
        <w:spacing w:after="100" w:afterAutospacing="1" w:before="100" w:beforeAutospacing="1" w:line="240" w:lineRule="auto"/>
        <w:ind w:hanging="357" w:left="714"/>
        <w:outlineLvl w:val="2"/>
        <w:rPr>
          <w:color w:val="0000ff"/>
        </w:rPr>
      </w:pPr>
      <w:r>
        <w:rPr>
          <w:color w:val="0000ff"/>
          <w:lang w:val="pt-BR"/>
        </w:rPr>
        <w:t xml:space="preserve">Response 1: </w:t>
      </w:r>
      <w:r>
        <w:rPr>
          <w:color w:val="0000ff"/>
        </w:rPr>
      </w:r>
      <w:r>
        <w:rPr>
          <w:color w:val="0000ff"/>
        </w:rPr>
      </w:r>
    </w:p>
    <w:p w14:paraId="2DD27CD6">
      <w:pPr>
        <w:pStyle w:val="691"/>
        <w:numPr>
          <w:ilvl w:val="0"/>
          <w:numId w:val="0"/>
        </w:numPr>
        <w:pBdr/>
        <w:spacing w:after="100" w:afterAutospacing="1" w:before="100" w:beforeAutospacing="1" w:line="240" w:lineRule="auto"/>
        <w:ind w:hanging="357" w:left="714"/>
        <w:outlineLvl w:val="2"/>
        <w:rPr/>
      </w:pPr>
      <w:r>
        <w:rPr>
          <w:highlight w:val="none"/>
        </w:rPr>
      </w:r>
      <w:r>
        <w:rPr>
          <w:highlight w:val="none"/>
        </w:rPr>
      </w:r>
      <w:r>
        <w:rPr>
          <w:highlight w:val="none"/>
        </w:rPr>
      </w:r>
    </w:p>
    <w:p w14:paraId="7C9C954E" w14:textId="7A166480">
      <w:pPr>
        <w:pStyle w:val="691"/>
        <w:numPr>
          <w:ilvl w:val="0"/>
          <w:numId w:val="0"/>
        </w:numPr>
        <w:pBdr/>
        <w:spacing w:after="100" w:afterAutospacing="1" w:before="100" w:beforeAutospacing="1" w:line="240" w:lineRule="auto"/>
        <w:ind w:hanging="357" w:left="714"/>
        <w:outlineLvl w:val="2"/>
        <w:rPr>
          <w:highlight w:val="none"/>
        </w:rPr>
      </w:pPr>
      <w:r>
        <w:t xml:space="preserve">Figure 3 presents a summary of the NMAE and R values for all test samples; however, the figure is vague and difficult to interpret. </w:t>
      </w:r>
      <w:r>
        <w:t xml:space="preserve">There is no legend or explanation for the labels A, B, C, and D. </w:t>
      </w:r>
      <w:r>
        <w:t xml:space="preserve">Moreover, the distribution of errors across the dataset is not clearly conveyed. The figure should be revised to improve clarity and to more effectively communicate the model’s</w:t>
      </w:r>
      <w:r>
        <w:t xml:space="preserve"> </w:t>
      </w:r>
      <w:r>
        <w:t xml:space="preserve">performance.</w:t>
      </w:r>
      <w:r>
        <w:rPr>
          <w:highlight w:val="none"/>
        </w:rPr>
      </w:r>
    </w:p>
    <w:p w14:paraId="02A6B496">
      <w:pPr>
        <w:pStyle w:val="691"/>
        <w:numPr>
          <w:ilvl w:val="0"/>
          <w:numId w:val="0"/>
        </w:numPr>
        <w:pBdr/>
        <w:spacing w:after="100" w:afterAutospacing="1" w:before="100" w:beforeAutospacing="1" w:line="240" w:lineRule="auto"/>
        <w:ind w:hanging="357" w:left="714"/>
        <w:outlineLvl w:val="2"/>
        <w:rPr>
          <w:highlight w:val="none"/>
        </w:rPr>
      </w:pPr>
      <w:r>
        <w:rPr>
          <w:highlight w:val="none"/>
        </w:rPr>
      </w:r>
      <w:r>
        <w:rPr>
          <w:highlight w:val="none"/>
        </w:rPr>
      </w:r>
      <w:r>
        <w:rPr>
          <w:highlight w:val="none"/>
        </w:rPr>
      </w:r>
    </w:p>
    <w:p w14:paraId="1B466E58">
      <w:pPr>
        <w:pStyle w:val="691"/>
        <w:numPr>
          <w:ilvl w:val="0"/>
          <w:numId w:val="0"/>
        </w:numPr>
        <w:pBdr/>
        <w:spacing w:after="100" w:afterAutospacing="1" w:before="100" w:beforeAutospacing="1" w:line="240" w:lineRule="auto"/>
        <w:ind w:hanging="357" w:left="714"/>
        <w:outlineLvl w:val="2"/>
        <w:rPr>
          <w:color w:val="0000ff"/>
        </w:rPr>
      </w:pPr>
      <w:r>
        <w:rPr>
          <w:color w:val="0000ff"/>
          <w:lang w:val="pt-BR"/>
        </w:rPr>
        <w:t xml:space="preserve">Response 2: </w:t>
      </w:r>
      <w:r>
        <w:rPr>
          <w:color w:val="0000ff"/>
        </w:rPr>
      </w:r>
      <w:r>
        <w:rPr>
          <w:color w:val="0000ff"/>
        </w:rPr>
      </w:r>
    </w:p>
    <w:p w14:paraId="174B6F3C">
      <w:pPr>
        <w:pStyle w:val="691"/>
        <w:numPr>
          <w:ilvl w:val="0"/>
          <w:numId w:val="0"/>
        </w:numPr>
        <w:pBdr/>
        <w:spacing w:after="100" w:afterAutospacing="1" w:before="100" w:beforeAutospacing="1" w:line="240" w:lineRule="auto"/>
        <w:ind w:hanging="357" w:left="714"/>
        <w:outlineLvl w:val="2"/>
        <w:rPr/>
      </w:pPr>
      <w:r>
        <w:rPr>
          <w:highlight w:val="none"/>
        </w:rPr>
      </w:r>
      <w:r>
        <w:rPr>
          <w:highlight w:val="none"/>
        </w:rPr>
      </w:r>
      <w:r>
        <w:rPr>
          <w:highlight w:val="none"/>
        </w:rPr>
      </w:r>
    </w:p>
    <w:p w14:paraId="15AAD6A0" w14:textId="7931BF5B">
      <w:pPr>
        <w:pStyle w:val="691"/>
        <w:numPr>
          <w:ilvl w:val="0"/>
          <w:numId w:val="0"/>
        </w:numPr>
        <w:pBdr/>
        <w:spacing w:after="100" w:afterAutospacing="1" w:before="100" w:beforeAutospacing="1" w:line="240" w:lineRule="auto"/>
        <w:ind/>
        <w:outlineLvl w:val="2"/>
        <w:rPr>
          <w:highlight w:val="none"/>
        </w:rPr>
      </w:pPr>
      <w:r>
        <w:t xml:space="preserve">In Section 3.2.1, the authors state that “the </w:t>
      </w:r>
      <w:r>
        <w:rPr>
          <w:rFonts w:ascii="Cambria Math" w:hAnsi="Cambria Math" w:cs="Cambria Math"/>
        </w:rPr>
        <w:t xml:space="preserve">𝑦</w:t>
      </w:r>
      <w:r>
        <w:t xml:space="preserve">-axis corresponds to the circumferential direction, with BC and S</w:t>
      </w:r>
      <w:r>
        <w:t xml:space="preserve">C denoting the big and small curvatures, respectively”. What exactly is meant by “big” and “small” curvature in this context? Are these standard or commonly accepted concepts in the biomechanics literature, or are they defined specifically for this study? </w:t>
      </w:r>
      <w:r/>
    </w:p>
    <w:p w14:paraId="4C59C860">
      <w:pPr>
        <w:pStyle w:val="691"/>
        <w:numPr>
          <w:ilvl w:val="0"/>
          <w:numId w:val="0"/>
        </w:numPr>
        <w:pBdr/>
        <w:spacing w:after="100" w:afterAutospacing="1" w:before="100" w:beforeAutospacing="1" w:line="240" w:lineRule="auto"/>
        <w:ind/>
        <w:outlineLvl w:val="2"/>
        <w:rPr/>
      </w:pPr>
      <w:r/>
      <w:r/>
      <w:r/>
    </w:p>
    <w:p w14:paraId="1B466E58">
      <w:pPr>
        <w:pStyle w:val="691"/>
        <w:numPr>
          <w:ilvl w:val="0"/>
          <w:numId w:val="0"/>
        </w:numPr>
        <w:pBdr/>
        <w:spacing w:after="100" w:afterAutospacing="1" w:before="100" w:beforeAutospacing="1" w:line="240" w:lineRule="auto"/>
        <w:ind w:hanging="357" w:left="714"/>
        <w:outlineLvl w:val="2"/>
        <w:rPr>
          <w:color w:val="0000ff"/>
        </w:rPr>
      </w:pPr>
      <w:r>
        <w:rPr>
          <w:color w:val="0000ff"/>
          <w:lang w:val="pt-BR"/>
        </w:rPr>
        <w:t xml:space="preserve">Response 3: </w:t>
      </w:r>
      <w:r>
        <w:rPr>
          <w:color w:val="0000ff"/>
        </w:rPr>
      </w:r>
      <w:r>
        <w:rPr>
          <w:color w:val="0000ff"/>
        </w:rPr>
      </w:r>
    </w:p>
    <w:p w14:paraId="7EE2EC9B">
      <w:pPr>
        <w:pStyle w:val="691"/>
        <w:numPr>
          <w:ilvl w:val="0"/>
          <w:numId w:val="0"/>
        </w:numPr>
        <w:pBdr/>
        <w:spacing w:after="100" w:afterAutospacing="1" w:before="100" w:beforeAutospacing="1" w:line="240" w:lineRule="auto"/>
        <w:ind/>
        <w:outlineLvl w:val="2"/>
        <w:rPr/>
      </w:pPr>
      <w:r>
        <w:rPr>
          <w:highlight w:val="none"/>
        </w:rPr>
      </w:r>
      <w:r>
        <w:rPr>
          <w:highlight w:val="none"/>
        </w:rPr>
      </w:r>
      <w:r>
        <w:rPr>
          <w:highlight w:val="none"/>
        </w:rPr>
      </w:r>
    </w:p>
    <w:p w14:paraId="4C557B16" w14:textId="0883F2E8">
      <w:pPr>
        <w:pStyle w:val="691"/>
        <w:numPr>
          <w:ilvl w:val="0"/>
          <w:numId w:val="0"/>
        </w:numPr>
        <w:pBdr/>
        <w:spacing w:after="100" w:afterAutospacing="1" w:before="100" w:beforeAutospacing="1" w:line="240" w:lineRule="auto"/>
        <w:ind/>
        <w:outlineLvl w:val="2"/>
        <w:rPr>
          <w:highlight w:val="none"/>
        </w:rPr>
      </w:pPr>
      <w:r>
        <w:t xml:space="preserve">Regarding the numerical simulation part (section 2.4), was any mesh convergence or mesh sensitivity study performed? </w:t>
      </w:r>
      <w:r/>
    </w:p>
    <w:p w14:paraId="1E061C33">
      <w:pPr>
        <w:pStyle w:val="691"/>
        <w:numPr>
          <w:ilvl w:val="0"/>
          <w:numId w:val="0"/>
        </w:numPr>
        <w:pBdr/>
        <w:spacing w:after="100" w:afterAutospacing="1" w:before="100" w:beforeAutospacing="1" w:line="240" w:lineRule="auto"/>
        <w:ind/>
        <w:outlineLvl w:val="2"/>
        <w:rPr/>
      </w:pPr>
      <w:r/>
      <w:r/>
      <w:r/>
    </w:p>
    <w:p w14:paraId="1B466E58">
      <w:pPr>
        <w:pStyle w:val="691"/>
        <w:numPr>
          <w:ilvl w:val="0"/>
          <w:numId w:val="0"/>
        </w:numPr>
        <w:pBdr/>
        <w:spacing w:after="100" w:afterAutospacing="1" w:before="100" w:beforeAutospacing="1" w:line="240" w:lineRule="auto"/>
        <w:ind w:hanging="357" w:left="714"/>
        <w:outlineLvl w:val="2"/>
        <w:rPr>
          <w:color w:val="0000ff"/>
        </w:rPr>
      </w:pPr>
      <w:r>
        <w:rPr>
          <w:color w:val="0000ff"/>
          <w:lang w:val="pt-BR"/>
        </w:rPr>
        <w:t xml:space="preserve">Response 4: </w:t>
      </w:r>
      <w:r>
        <w:rPr>
          <w:color w:val="0000ff"/>
        </w:rPr>
      </w:r>
      <w:r>
        <w:rPr>
          <w:color w:val="0000ff"/>
        </w:rPr>
      </w:r>
    </w:p>
    <w:p w14:paraId="3FAAFFB9">
      <w:pPr>
        <w:pStyle w:val="691"/>
        <w:numPr>
          <w:ilvl w:val="0"/>
          <w:numId w:val="0"/>
        </w:numPr>
        <w:pBdr/>
        <w:spacing w:after="100" w:afterAutospacing="1" w:before="100" w:beforeAutospacing="1" w:line="240" w:lineRule="auto"/>
        <w:ind/>
        <w:outlineLvl w:val="2"/>
        <w:rPr/>
      </w:pPr>
      <w:r>
        <w:rPr>
          <w:highlight w:val="none"/>
        </w:rPr>
      </w:r>
      <w:r>
        <w:rPr>
          <w:highlight w:val="none"/>
        </w:rPr>
      </w:r>
      <w:r>
        <w:rPr>
          <w:highlight w:val="none"/>
        </w:rPr>
      </w:r>
    </w:p>
    <w:p w14:paraId="2DCE073A" w14:textId="4C3F5413">
      <w:pPr>
        <w:pStyle w:val="691"/>
        <w:numPr>
          <w:ilvl w:val="0"/>
          <w:numId w:val="0"/>
        </w:numPr>
        <w:pBdr/>
        <w:spacing w:after="100" w:afterAutospacing="1" w:before="100" w:beforeAutospacing="1" w:line="240" w:lineRule="auto"/>
        <w:ind/>
        <w:outlineLvl w:val="2"/>
        <w:rPr/>
      </w:pPr>
      <w:r>
        <w:rPr>
          <w:lang w:val="en-US"/>
        </w:rPr>
        <w:t xml:space="preserve">Regarding the evaluation of model performance, the manuscript does not provide any </w:t>
      </w:r>
      <w:r>
        <w:rPr>
          <w:lang w:val="en-US"/>
        </w:rPr>
        <w:t xml:space="preserve">aggregated or global assessment over the entire dataset. The results are presented mainly through scatter plots of NMAE and R values for individual data point, e.g., in Figure 1, 6, and 7. These plots do not allow the </w:t>
      </w:r>
      <w:r>
        <w:rPr>
          <w:lang w:val="en-US"/>
        </w:rPr>
        <w:t xml:space="preserve">reader to form a clear overall understanding of the model’s performance. Summary statistics, or a more comprehensive quantitative comparison between the target and prediction values over the full dataset would be necessary to support the conclusions drawn.</w:t>
      </w:r>
      <w:r/>
    </w:p>
    <w:p w14:paraId="0D063FB8" w14:textId="271E4E2C">
      <w:pPr>
        <w:pStyle w:val="691"/>
        <w:numPr>
          <w:ilvl w:val="0"/>
          <w:numId w:val="0"/>
        </w:numPr>
        <w:pBdr/>
        <w:spacing w:after="100" w:afterAutospacing="1" w:before="100" w:beforeAutospacing="1" w:line="240" w:lineRule="auto"/>
        <w:ind/>
        <w:outlineLvl w:val="2"/>
        <w:rPr/>
      </w:pPr>
      <w:r>
        <w:rPr>
          <w:lang w:val="en-US"/>
        </w:rPr>
        <w:t xml:space="preserve">Section 3.3 discussed the correlation between error and inputs. However, this interpretation is not sufficiently supported or clearly explained. The observed trend in high errors can be a consequence of imbalanced training datasets. The manuscript </w:t>
      </w:r>
      <w:r>
        <w:rPr>
          <w:lang w:val="en-US"/>
        </w:rPr>
        <w:t xml:space="preserve">does not provide any analysis on the distribution of training samples across the input space. As such, the current analysis does not convincingly demonstrate any causal relationship between input parameters and model performance.</w:t>
      </w:r>
      <w:r/>
    </w:p>
    <w:p w14:paraId="0A4938D6" w14:textId="048AF49C">
      <w:pPr>
        <w:pBdr/>
        <w:spacing w:after="100" w:afterAutospacing="1" w:before="100" w:beforeAutospacing="1" w:line="240" w:lineRule="auto"/>
        <w:ind/>
        <w:outlineLvl w:val="2"/>
        <w:rPr>
          <w:rFonts w:eastAsia="Times New Roman" w:cs="Arial"/>
          <w:b/>
          <w:bCs/>
          <w:sz w:val="27"/>
          <w:szCs w:val="27"/>
          <w14:ligatures w14:val="none"/>
        </w:rPr>
      </w:pPr>
      <w:r>
        <w:rPr>
          <w:rFonts w:eastAsia="Times New Roman" w:cs="Arial"/>
          <w:b/>
          <w:bCs/>
          <w:sz w:val="27"/>
          <w:szCs w:val="27"/>
          <w14:ligatures w14:val="none"/>
        </w:rPr>
        <w:t xml:space="preserve">Minor Comments</w:t>
      </w:r>
      <w:r>
        <w:rPr>
          <w:rFonts w:eastAsia="Times New Roman" w:cs="Arial"/>
          <w:b/>
          <w:bCs/>
          <w:sz w:val="27"/>
          <w:szCs w:val="27"/>
          <w14:ligatures w14:val="none"/>
        </w:rPr>
        <w:t xml:space="preserve">:</w:t>
      </w:r>
      <w:r>
        <w:rPr>
          <w:rFonts w:eastAsia="Times New Roman" w:cs="Arial"/>
          <w:b/>
          <w:bCs/>
          <w:sz w:val="27"/>
          <w:szCs w:val="27"/>
          <w14:ligatures w14:val="none"/>
        </w:rPr>
      </w:r>
    </w:p>
    <w:p w14:paraId="3616126E" w14:textId="700FA077">
      <w:pPr>
        <w:numPr>
          <w:ilvl w:val="0"/>
          <w:numId w:val="0"/>
        </w:numPr>
        <w:pBdr/>
        <w:spacing w:after="100" w:afterAutospacing="1" w:before="100" w:beforeAutospacing="1" w:line="240" w:lineRule="auto"/>
        <w:ind/>
        <w:rPr>
          <w:rFonts w:eastAsia="Times New Roman" w:cs="Arial"/>
          <w14:ligatures w14:val="none"/>
        </w:rPr>
      </w:pPr>
      <w:r>
        <w:rPr>
          <w:rFonts w:eastAsia="Times New Roman" w:cs="Arial"/>
          <w14:ligatures w14:val="none"/>
        </w:rPr>
        <w:t xml:space="preserve">Typos</w:t>
      </w:r>
      <w:r>
        <w:rPr>
          <w:rFonts w:eastAsia="Times New Roman" w:cs="Arial"/>
          <w14:ligatures w14:val="none"/>
        </w:rPr>
      </w:r>
    </w:p>
    <w:p w14:paraId="7DF04595" w14:textId="77777777">
      <w:pPr>
        <w:numPr>
          <w:ilvl w:val="0"/>
          <w:numId w:val="0"/>
        </w:numPr>
        <w:pBdr/>
        <w:spacing w:after="100" w:afterAutospacing="1" w:before="100" w:beforeAutospacing="1" w:line="240" w:lineRule="auto"/>
        <w:ind/>
        <w:rPr>
          <w:rFonts w:eastAsia="Times New Roman" w:cs="Arial"/>
          <w14:ligatures w14:val="none"/>
        </w:rPr>
      </w:pPr>
      <w:r>
        <w:rPr>
          <w:rFonts w:eastAsia="Times New Roman" w:cs="Arial"/>
          <w14:ligatures w14:val="none"/>
        </w:rPr>
        <w:t xml:space="preserve">Page 5, line 4: “In tis case” should be corrected to “In this case”.</w:t>
      </w:r>
      <w:r>
        <w:rPr>
          <w:rFonts w:eastAsia="Times New Roman" w:cs="Arial"/>
          <w14:ligatures w14:val="none"/>
        </w:rPr>
      </w:r>
    </w:p>
    <w:p w14:paraId="05AA7080" w14:textId="77777777">
      <w:pPr>
        <w:numPr>
          <w:ilvl w:val="0"/>
          <w:numId w:val="0"/>
        </w:numPr>
        <w:pBdr/>
        <w:spacing w:after="100" w:afterAutospacing="1" w:before="100" w:beforeAutospacing="1" w:line="240" w:lineRule="auto"/>
        <w:ind/>
        <w:rPr>
          <w:rFonts w:eastAsia="Times New Roman" w:cs="Arial"/>
          <w14:ligatures w14:val="none"/>
        </w:rPr>
      </w:pPr>
      <w:r>
        <w:rPr>
          <w:rFonts w:eastAsia="Times New Roman" w:cs="Arial"/>
          <w14:ligatures w14:val="none"/>
        </w:rPr>
        <w:t xml:space="preserve">Page 5, line 7: “a acceptable” should be corrected to “an acceptable”.</w:t>
      </w:r>
      <w:r>
        <w:rPr>
          <w:rFonts w:eastAsia="Times New Roman" w:cs="Arial"/>
          <w14:ligatures w14:val="none"/>
        </w:rPr>
      </w:r>
    </w:p>
    <w:p w14:paraId="76AA8C47" w14:textId="77777777">
      <w:pPr>
        <w:numPr>
          <w:ilvl w:val="0"/>
          <w:numId w:val="0"/>
        </w:numPr>
        <w:pBdr/>
        <w:spacing w:after="100" w:afterAutospacing="1" w:before="100" w:beforeAutospacing="1" w:line="240" w:lineRule="auto"/>
        <w:ind/>
        <w:rPr>
          <w:rFonts w:eastAsia="Times New Roman" w:cs="Arial"/>
          <w14:ligatures w14:val="none"/>
        </w:rPr>
      </w:pPr>
      <w:r>
        <w:rPr>
          <w:rFonts w:eastAsia="Times New Roman" w:cs="Arial"/>
          <w14:ligatures w14:val="none"/>
        </w:rPr>
        <w:t xml:space="preserve">Page 5, paragraph 3: “Section 3 present” should be corrected to “Section 3 presents”.</w:t>
      </w:r>
      <w:r>
        <w:rPr>
          <w:rFonts w:eastAsia="Times New Roman" w:cs="Arial"/>
          <w14:ligatures w14:val="none"/>
        </w:rPr>
      </w:r>
    </w:p>
    <w:p w14:paraId="07D47F53" w14:textId="77777777">
      <w:pPr>
        <w:numPr>
          <w:ilvl w:val="0"/>
          <w:numId w:val="0"/>
        </w:numPr>
        <w:pBdr/>
        <w:spacing w:after="100" w:afterAutospacing="1" w:before="100" w:beforeAutospacing="1" w:line="240" w:lineRule="auto"/>
        <w:ind/>
        <w:rPr>
          <w:rFonts w:eastAsia="Times New Roman" w:cs="Arial"/>
          <w14:ligatures w14:val="none"/>
        </w:rPr>
      </w:pPr>
      <w:r>
        <w:rPr>
          <w:rFonts w:eastAsia="Times New Roman" w:cs="Arial"/>
          <w14:ligatures w14:val="none"/>
        </w:rPr>
        <w:t xml:space="preserve">Page 6, Section 2.2, paragraph 2: “Source Pointss (SPs)” should be corrected to “Source Points (SPs)”, and “These SP” should be corrected to “These SPs”.</w:t>
      </w:r>
      <w:r>
        <w:rPr>
          <w:rFonts w:eastAsia="Times New Roman" w:cs="Arial"/>
          <w14:ligatures w14:val="none"/>
        </w:rPr>
      </w:r>
    </w:p>
    <w:p w14:paraId="7E254C9E" w14:textId="77777777">
      <w:pPr>
        <w:numPr>
          <w:ilvl w:val="0"/>
          <w:numId w:val="0"/>
        </w:numPr>
        <w:pBdr/>
        <w:spacing w:after="100" w:afterAutospacing="1" w:before="100" w:beforeAutospacing="1" w:line="240" w:lineRule="auto"/>
        <w:ind/>
        <w:rPr>
          <w:rFonts w:eastAsia="Times New Roman" w:cs="Arial"/>
          <w14:ligatures w14:val="none"/>
        </w:rPr>
      </w:pPr>
      <w:r>
        <w:rPr>
          <w:rFonts w:eastAsia="Times New Roman" w:cs="Arial"/>
          <w14:ligatures w14:val="none"/>
        </w:rPr>
        <w:t xml:space="preserve">Page 11, Section 3.1: “The Second and third” should be corrected to “The second and third”.</w:t>
      </w:r>
      <w:r>
        <w:rPr>
          <w:rFonts w:eastAsia="Times New Roman" w:cs="Arial"/>
          <w14:ligatures w14:val="none"/>
        </w:rPr>
      </w:r>
    </w:p>
    <w:p w14:paraId="37155A73" w14:textId="0FF2AA62">
      <w:pPr>
        <w:pStyle w:val="691"/>
        <w:numPr>
          <w:ilvl w:val="0"/>
          <w:numId w:val="0"/>
        </w:numPr>
        <w:pBdr/>
        <w:spacing w:line="240" w:lineRule="auto"/>
        <w:ind/>
        <w:rPr/>
      </w:pPr>
      <w:r>
        <w:t xml:space="preserve">In the Introduction, the authors state that the model predicts the </w:t>
      </w:r>
      <w:r>
        <w:rPr>
          <w:i/>
          <w:iCs/>
        </w:rPr>
        <w:t xml:space="preserve">Second Piola–Kirchhoff stress</w:t>
      </w:r>
      <w:r>
        <w:t xml:space="preserve"> and the </w:t>
      </w:r>
      <w:r>
        <w:rPr>
          <w:i/>
          <w:iCs/>
        </w:rPr>
        <w:t xml:space="preserve">deformation gradient tensor</w:t>
      </w:r>
      <w:r>
        <w:t xml:space="preserve">, whereas the Abstract and the rest of the manuscript report results for the </w:t>
      </w:r>
      <w:r>
        <w:rPr>
          <w:i/>
          <w:iCs/>
        </w:rPr>
        <w:t xml:space="preserve">Second Piola–Kirchhoff stress</w:t>
      </w:r>
      <w:r>
        <w:t xml:space="preserve"> and the </w:t>
      </w:r>
      <w:r>
        <w:rPr>
          <w:i/>
          <w:iCs/>
        </w:rPr>
        <w:t xml:space="preserve">Right Cauchy–Green strain tensor</w:t>
      </w:r>
      <w:r>
        <w:t xml:space="preserve">. Since these are different quantities, this inconsistency should be clarified and corrected.</w:t>
      </w:r>
      <w:r/>
    </w:p>
    <w:sectPr>
      <w:footnotePr/>
      <w:endnotePr/>
      <w:type w:val="nextPage"/>
      <w:pgSz w:h="16838" w:orient="portrait" w:w="11906"/>
      <w:pgMar w:top="1440" w:right="1080" w:bottom="1440" w:left="108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zh-CN"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3"/>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63"/>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63"/>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63"/>
    <w:next w:val="663"/>
    <w:uiPriority w:val="35"/>
    <w:unhideWhenUsed/>
    <w:qFormat/>
    <w:pPr>
      <w:pBdr/>
      <w:spacing w:after="200" w:line="240" w:lineRule="auto"/>
      <w:ind/>
    </w:pPr>
    <w:rPr>
      <w:i/>
      <w:iCs/>
      <w:color w:val="0e2841" w:themeColor="text2"/>
      <w:sz w:val="18"/>
      <w:szCs w:val="18"/>
    </w:rPr>
  </w:style>
  <w:style w:type="paragraph" w:styleId="181">
    <w:name w:val="footnote text"/>
    <w:basedOn w:val="663"/>
    <w:link w:val="182"/>
    <w:uiPriority w:val="99"/>
    <w:semiHidden/>
    <w:unhideWhenUsed/>
    <w:pPr>
      <w:pBdr/>
      <w:spacing w:after="0" w:line="240" w:lineRule="auto"/>
      <w:ind/>
    </w:pPr>
    <w:rPr>
      <w:sz w:val="20"/>
      <w:szCs w:val="20"/>
    </w:rPr>
  </w:style>
  <w:style w:type="character" w:styleId="182">
    <w:name w:val="Footnote Text Char"/>
    <w:basedOn w:val="673"/>
    <w:link w:val="181"/>
    <w:uiPriority w:val="99"/>
    <w:semiHidden/>
    <w:pPr>
      <w:pBdr/>
      <w:spacing/>
      <w:ind/>
    </w:pPr>
    <w:rPr>
      <w:sz w:val="20"/>
      <w:szCs w:val="20"/>
    </w:rPr>
  </w:style>
  <w:style w:type="character" w:styleId="183">
    <w:name w:val="footnote reference"/>
    <w:basedOn w:val="673"/>
    <w:uiPriority w:val="99"/>
    <w:semiHidden/>
    <w:unhideWhenUsed/>
    <w:pPr>
      <w:pBdr/>
      <w:spacing/>
      <w:ind/>
    </w:pPr>
    <w:rPr>
      <w:vertAlign w:val="superscript"/>
    </w:rPr>
  </w:style>
  <w:style w:type="paragraph" w:styleId="184">
    <w:name w:val="endnote text"/>
    <w:basedOn w:val="663"/>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7">
    <w:name w:val="Hyperlink"/>
    <w:basedOn w:val="673"/>
    <w:uiPriority w:val="99"/>
    <w:unhideWhenUsed/>
    <w:pPr>
      <w:pBdr/>
      <w:spacing/>
      <w:ind/>
    </w:pPr>
    <w:rPr>
      <w:color w:val="0563c1" w:themeColor="hyperlink"/>
      <w:u w:val="single"/>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63"/>
    <w:next w:val="663"/>
    <w:uiPriority w:val="39"/>
    <w:unhideWhenUsed/>
    <w:pPr>
      <w:pBdr/>
      <w:spacing w:after="100"/>
      <w:ind/>
    </w:pPr>
  </w:style>
  <w:style w:type="paragraph" w:styleId="190">
    <w:name w:val="toc 2"/>
    <w:basedOn w:val="663"/>
    <w:next w:val="663"/>
    <w:uiPriority w:val="39"/>
    <w:unhideWhenUsed/>
    <w:pPr>
      <w:pBdr/>
      <w:spacing w:after="100"/>
      <w:ind w:left="220"/>
    </w:pPr>
  </w:style>
  <w:style w:type="paragraph" w:styleId="191">
    <w:name w:val="toc 3"/>
    <w:basedOn w:val="663"/>
    <w:next w:val="663"/>
    <w:uiPriority w:val="39"/>
    <w:unhideWhenUsed/>
    <w:pPr>
      <w:pBdr/>
      <w:spacing w:after="100"/>
      <w:ind w:left="440"/>
    </w:pPr>
  </w:style>
  <w:style w:type="paragraph" w:styleId="192">
    <w:name w:val="toc 4"/>
    <w:basedOn w:val="663"/>
    <w:next w:val="663"/>
    <w:uiPriority w:val="39"/>
    <w:unhideWhenUsed/>
    <w:pPr>
      <w:pBdr/>
      <w:spacing w:after="100"/>
      <w:ind w:left="660"/>
    </w:pPr>
  </w:style>
  <w:style w:type="paragraph" w:styleId="193">
    <w:name w:val="toc 5"/>
    <w:basedOn w:val="663"/>
    <w:next w:val="663"/>
    <w:uiPriority w:val="39"/>
    <w:unhideWhenUsed/>
    <w:pPr>
      <w:pBdr/>
      <w:spacing w:after="100"/>
      <w:ind w:left="880"/>
    </w:pPr>
  </w:style>
  <w:style w:type="paragraph" w:styleId="194">
    <w:name w:val="toc 6"/>
    <w:basedOn w:val="663"/>
    <w:next w:val="663"/>
    <w:uiPriority w:val="39"/>
    <w:unhideWhenUsed/>
    <w:pPr>
      <w:pBdr/>
      <w:spacing w:after="100"/>
      <w:ind w:left="1100"/>
    </w:pPr>
  </w:style>
  <w:style w:type="paragraph" w:styleId="195">
    <w:name w:val="toc 7"/>
    <w:basedOn w:val="663"/>
    <w:next w:val="663"/>
    <w:uiPriority w:val="39"/>
    <w:unhideWhenUsed/>
    <w:pPr>
      <w:pBdr/>
      <w:spacing w:after="100"/>
      <w:ind w:left="1320"/>
    </w:pPr>
  </w:style>
  <w:style w:type="paragraph" w:styleId="196">
    <w:name w:val="toc 8"/>
    <w:basedOn w:val="663"/>
    <w:next w:val="663"/>
    <w:uiPriority w:val="39"/>
    <w:unhideWhenUsed/>
    <w:pPr>
      <w:pBdr/>
      <w:spacing w:after="100"/>
      <w:ind w:left="1540"/>
    </w:pPr>
  </w:style>
  <w:style w:type="paragraph" w:styleId="197">
    <w:name w:val="toc 9"/>
    <w:basedOn w:val="663"/>
    <w:next w:val="663"/>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3"/>
    <w:next w:val="663"/>
    <w:uiPriority w:val="99"/>
    <w:unhideWhenUsed/>
    <w:pPr>
      <w:pBdr/>
      <w:spacing w:after="0" w:afterAutospacing="0"/>
      <w:ind/>
    </w:pPr>
  </w:style>
  <w:style w:type="paragraph" w:styleId="663" w:default="1">
    <w:name w:val="Normal"/>
    <w:qFormat/>
    <w:pPr>
      <w:pBdr/>
      <w:spacing/>
      <w:ind/>
    </w:pPr>
  </w:style>
  <w:style w:type="paragraph" w:styleId="664">
    <w:name w:val="Heading 1"/>
    <w:basedOn w:val="663"/>
    <w:next w:val="663"/>
    <w:link w:val="67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65">
    <w:name w:val="Heading 2"/>
    <w:basedOn w:val="663"/>
    <w:next w:val="663"/>
    <w:link w:val="67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66">
    <w:name w:val="Heading 3"/>
    <w:basedOn w:val="663"/>
    <w:next w:val="663"/>
    <w:link w:val="678"/>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67">
    <w:name w:val="Heading 4"/>
    <w:basedOn w:val="663"/>
    <w:next w:val="663"/>
    <w:link w:val="67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68">
    <w:name w:val="Heading 5"/>
    <w:basedOn w:val="663"/>
    <w:next w:val="663"/>
    <w:link w:val="68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69">
    <w:name w:val="Heading 6"/>
    <w:basedOn w:val="663"/>
    <w:next w:val="663"/>
    <w:link w:val="68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0">
    <w:name w:val="Heading 7"/>
    <w:basedOn w:val="663"/>
    <w:next w:val="663"/>
    <w:link w:val="68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1">
    <w:name w:val="Heading 8"/>
    <w:basedOn w:val="663"/>
    <w:next w:val="663"/>
    <w:link w:val="68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2">
    <w:name w:val="Heading 9"/>
    <w:basedOn w:val="663"/>
    <w:next w:val="663"/>
    <w:link w:val="68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character" w:styleId="676" w:customStyle="1">
    <w:name w:val="Heading 1 Char"/>
    <w:basedOn w:val="673"/>
    <w:link w:val="664"/>
    <w:uiPriority w:val="9"/>
    <w:pPr>
      <w:pBdr/>
      <w:spacing/>
      <w:ind/>
    </w:pPr>
    <w:rPr>
      <w:rFonts w:asciiTheme="majorHAnsi" w:hAnsiTheme="majorHAnsi" w:eastAsiaTheme="majorEastAsia" w:cstheme="majorBidi"/>
      <w:color w:val="0f4761" w:themeColor="accent1" w:themeShade="BF"/>
      <w:sz w:val="40"/>
      <w:szCs w:val="40"/>
    </w:rPr>
  </w:style>
  <w:style w:type="character" w:styleId="677" w:customStyle="1">
    <w:name w:val="Heading 2 Char"/>
    <w:basedOn w:val="673"/>
    <w:link w:val="66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78" w:customStyle="1">
    <w:name w:val="Heading 3 Char"/>
    <w:basedOn w:val="673"/>
    <w:link w:val="666"/>
    <w:uiPriority w:val="9"/>
    <w:pPr>
      <w:pBdr/>
      <w:spacing/>
      <w:ind/>
    </w:pPr>
    <w:rPr>
      <w:rFonts w:eastAsiaTheme="majorEastAsia" w:cstheme="majorBidi"/>
      <w:color w:val="0f4761" w:themeColor="accent1" w:themeShade="BF"/>
      <w:sz w:val="28"/>
      <w:szCs w:val="28"/>
    </w:rPr>
  </w:style>
  <w:style w:type="character" w:styleId="679" w:customStyle="1">
    <w:name w:val="Heading 4 Char"/>
    <w:basedOn w:val="673"/>
    <w:link w:val="667"/>
    <w:uiPriority w:val="9"/>
    <w:semiHidden/>
    <w:pPr>
      <w:pBdr/>
      <w:spacing/>
      <w:ind/>
    </w:pPr>
    <w:rPr>
      <w:rFonts w:eastAsiaTheme="majorEastAsia" w:cstheme="majorBidi"/>
      <w:i/>
      <w:iCs/>
      <w:color w:val="0f4761" w:themeColor="accent1" w:themeShade="BF"/>
    </w:rPr>
  </w:style>
  <w:style w:type="character" w:styleId="680" w:customStyle="1">
    <w:name w:val="Heading 5 Char"/>
    <w:basedOn w:val="673"/>
    <w:link w:val="668"/>
    <w:uiPriority w:val="9"/>
    <w:semiHidden/>
    <w:pPr>
      <w:pBdr/>
      <w:spacing/>
      <w:ind/>
    </w:pPr>
    <w:rPr>
      <w:rFonts w:eastAsiaTheme="majorEastAsia" w:cstheme="majorBidi"/>
      <w:color w:val="0f4761" w:themeColor="accent1" w:themeShade="BF"/>
    </w:rPr>
  </w:style>
  <w:style w:type="character" w:styleId="681" w:customStyle="1">
    <w:name w:val="Heading 6 Char"/>
    <w:basedOn w:val="673"/>
    <w:link w:val="669"/>
    <w:uiPriority w:val="9"/>
    <w:semiHidden/>
    <w:pPr>
      <w:pBdr/>
      <w:spacing/>
      <w:ind/>
    </w:pPr>
    <w:rPr>
      <w:rFonts w:eastAsiaTheme="majorEastAsia" w:cstheme="majorBidi"/>
      <w:i/>
      <w:iCs/>
      <w:color w:val="595959" w:themeColor="text1" w:themeTint="A6"/>
    </w:rPr>
  </w:style>
  <w:style w:type="character" w:styleId="682" w:customStyle="1">
    <w:name w:val="Heading 7 Char"/>
    <w:basedOn w:val="673"/>
    <w:link w:val="670"/>
    <w:uiPriority w:val="9"/>
    <w:semiHidden/>
    <w:pPr>
      <w:pBdr/>
      <w:spacing/>
      <w:ind/>
    </w:pPr>
    <w:rPr>
      <w:rFonts w:eastAsiaTheme="majorEastAsia" w:cstheme="majorBidi"/>
      <w:color w:val="595959" w:themeColor="text1" w:themeTint="A6"/>
    </w:rPr>
  </w:style>
  <w:style w:type="character" w:styleId="683" w:customStyle="1">
    <w:name w:val="Heading 8 Char"/>
    <w:basedOn w:val="673"/>
    <w:link w:val="671"/>
    <w:uiPriority w:val="9"/>
    <w:semiHidden/>
    <w:pPr>
      <w:pBdr/>
      <w:spacing/>
      <w:ind/>
    </w:pPr>
    <w:rPr>
      <w:rFonts w:eastAsiaTheme="majorEastAsia" w:cstheme="majorBidi"/>
      <w:i/>
      <w:iCs/>
      <w:color w:val="272727" w:themeColor="text1" w:themeTint="D8"/>
    </w:rPr>
  </w:style>
  <w:style w:type="character" w:styleId="684" w:customStyle="1">
    <w:name w:val="Heading 9 Char"/>
    <w:basedOn w:val="673"/>
    <w:link w:val="672"/>
    <w:uiPriority w:val="9"/>
    <w:semiHidden/>
    <w:pPr>
      <w:pBdr/>
      <w:spacing/>
      <w:ind/>
    </w:pPr>
    <w:rPr>
      <w:rFonts w:eastAsiaTheme="majorEastAsia" w:cstheme="majorBidi"/>
      <w:color w:val="272727" w:themeColor="text1" w:themeTint="D8"/>
    </w:rPr>
  </w:style>
  <w:style w:type="paragraph" w:styleId="685">
    <w:name w:val="Title"/>
    <w:basedOn w:val="663"/>
    <w:next w:val="663"/>
    <w:link w:val="68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6" w:customStyle="1">
    <w:name w:val="Title Char"/>
    <w:basedOn w:val="673"/>
    <w:link w:val="685"/>
    <w:uiPriority w:val="10"/>
    <w:pPr>
      <w:pBdr/>
      <w:spacing/>
      <w:ind/>
    </w:pPr>
    <w:rPr>
      <w:rFonts w:asciiTheme="majorHAnsi" w:hAnsiTheme="majorHAnsi" w:eastAsiaTheme="majorEastAsia" w:cstheme="majorBidi"/>
      <w:spacing w:val="-10"/>
      <w:sz w:val="56"/>
      <w:szCs w:val="56"/>
    </w:rPr>
  </w:style>
  <w:style w:type="paragraph" w:styleId="687">
    <w:name w:val="Subtitle"/>
    <w:basedOn w:val="663"/>
    <w:next w:val="663"/>
    <w:link w:val="688"/>
    <w:uiPriority w:val="11"/>
    <w:qFormat/>
    <w:pPr>
      <w:numPr>
        <w:ilvl w:val="1"/>
      </w:numPr>
      <w:pBdr/>
      <w:spacing/>
      <w:ind/>
    </w:pPr>
    <w:rPr>
      <w:rFonts w:eastAsiaTheme="majorEastAsia" w:cstheme="majorBidi"/>
      <w:color w:val="595959" w:themeColor="text1" w:themeTint="A6"/>
      <w:spacing w:val="15"/>
      <w:sz w:val="28"/>
      <w:szCs w:val="28"/>
    </w:rPr>
  </w:style>
  <w:style w:type="character" w:styleId="688" w:customStyle="1">
    <w:name w:val="Subtitle Char"/>
    <w:basedOn w:val="673"/>
    <w:link w:val="687"/>
    <w:uiPriority w:val="11"/>
    <w:pPr>
      <w:pBdr/>
      <w:spacing/>
      <w:ind/>
    </w:pPr>
    <w:rPr>
      <w:rFonts w:eastAsiaTheme="majorEastAsia" w:cstheme="majorBidi"/>
      <w:color w:val="595959" w:themeColor="text1" w:themeTint="A6"/>
      <w:spacing w:val="15"/>
      <w:sz w:val="28"/>
      <w:szCs w:val="28"/>
    </w:rPr>
  </w:style>
  <w:style w:type="paragraph" w:styleId="689">
    <w:name w:val="Quote"/>
    <w:basedOn w:val="663"/>
    <w:next w:val="663"/>
    <w:link w:val="690"/>
    <w:uiPriority w:val="29"/>
    <w:qFormat/>
    <w:pPr>
      <w:pBdr/>
      <w:spacing w:before="160"/>
      <w:ind/>
      <w:jc w:val="center"/>
    </w:pPr>
    <w:rPr>
      <w:i/>
      <w:iCs/>
      <w:color w:val="404040" w:themeColor="text1" w:themeTint="BF"/>
    </w:rPr>
  </w:style>
  <w:style w:type="character" w:styleId="690" w:customStyle="1">
    <w:name w:val="Quote Char"/>
    <w:basedOn w:val="673"/>
    <w:link w:val="689"/>
    <w:uiPriority w:val="29"/>
    <w:pPr>
      <w:pBdr/>
      <w:spacing/>
      <w:ind/>
    </w:pPr>
    <w:rPr>
      <w:i/>
      <w:iCs/>
      <w:color w:val="404040" w:themeColor="text1" w:themeTint="BF"/>
    </w:rPr>
  </w:style>
  <w:style w:type="paragraph" w:styleId="691">
    <w:name w:val="List Paragraph"/>
    <w:basedOn w:val="663"/>
    <w:uiPriority w:val="34"/>
    <w:qFormat/>
    <w:pPr>
      <w:pBdr/>
      <w:spacing/>
      <w:ind w:left="720"/>
      <w:contextualSpacing w:val="true"/>
    </w:pPr>
  </w:style>
  <w:style w:type="character" w:styleId="692">
    <w:name w:val="Intense Emphasis"/>
    <w:basedOn w:val="673"/>
    <w:uiPriority w:val="21"/>
    <w:qFormat/>
    <w:pPr>
      <w:pBdr/>
      <w:spacing/>
      <w:ind/>
    </w:pPr>
    <w:rPr>
      <w:i/>
      <w:iCs/>
      <w:color w:val="0f4761" w:themeColor="accent1" w:themeShade="BF"/>
    </w:rPr>
  </w:style>
  <w:style w:type="paragraph" w:styleId="693">
    <w:name w:val="Intense Quote"/>
    <w:basedOn w:val="663"/>
    <w:next w:val="663"/>
    <w:link w:val="6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4" w:customStyle="1">
    <w:name w:val="Intense Quote Char"/>
    <w:basedOn w:val="673"/>
    <w:link w:val="693"/>
    <w:uiPriority w:val="30"/>
    <w:pPr>
      <w:pBdr/>
      <w:spacing/>
      <w:ind/>
    </w:pPr>
    <w:rPr>
      <w:i/>
      <w:iCs/>
      <w:color w:val="0f4761" w:themeColor="accent1" w:themeShade="BF"/>
    </w:rPr>
  </w:style>
  <w:style w:type="character" w:styleId="695">
    <w:name w:val="Intense Reference"/>
    <w:basedOn w:val="673"/>
    <w:uiPriority w:val="32"/>
    <w:qFormat/>
    <w:pPr>
      <w:pBdr/>
      <w:spacing/>
      <w:ind/>
    </w:pPr>
    <w:rPr>
      <w:b/>
      <w:bCs/>
      <w:smallCaps/>
      <w:color w:val="0f4761" w:themeColor="accent1" w:themeShade="BF"/>
      <w:spacing w:val="5"/>
    </w:rPr>
  </w:style>
  <w:style w:type="character" w:styleId="696">
    <w:name w:val="Strong"/>
    <w:basedOn w:val="673"/>
    <w:uiPriority w:val="22"/>
    <w:qFormat/>
    <w:pPr>
      <w:pBdr/>
      <w:spacing/>
      <w:ind/>
    </w:pPr>
    <w:rPr>
      <w:b/>
      <w:bCs/>
    </w:rPr>
  </w:style>
  <w:style w:type="paragraph" w:styleId="697">
    <w:name w:val="Normal (Web)"/>
    <w:basedOn w:val="663"/>
    <w:uiPriority w:val="99"/>
    <w:semiHidden/>
    <w:unhideWhenUsed/>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698">
    <w:name w:val="Emphasis"/>
    <w:basedOn w:val="673"/>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2026-01-17T18:39:08Z</dcterms:modified>
</cp:coreProperties>
</file>