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</w:rPr>
      </w:pPr>
      <w:r>
        <w:rPr>
          <w:rFonts w:ascii="Open Sans" w:hAnsi="Open Sans" w:eastAsia="Open Sans" w:cs="Open Sans"/>
          <w:b/>
          <w:color w:val="000000"/>
          <w:sz w:val="24"/>
        </w:rPr>
        <w:t xml:space="preserve">Hybrid ML-mechanics framework</w:t>
      </w:r>
      <w:r>
        <w:rPr>
          <w:rFonts w:ascii="Open Sans" w:hAnsi="Open Sans" w:eastAsia="Open Sans" w:cs="Open Sans"/>
          <w:color w:val="000000"/>
          <w:sz w:val="24"/>
        </w:rPr>
        <w:t xml:space="preserve">: Novel integration of deep learning with computational solid mechanics for real-time aortic biomechanics prediction.</w:t>
      </w:r>
      <w:r>
        <w:rPr>
          <w:rFonts w:ascii="Open Sans" w:hAnsi="Open Sans" w:eastAsia="Open Sans" w:cs="Open Sans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</w:rPr>
      </w:pPr>
      <w:r>
        <w:rPr>
          <w:rFonts w:ascii="Open Sans" w:hAnsi="Open Sans" w:eastAsia="Open Sans" w:cs="Open Sans"/>
          <w:b/>
          <w:color w:val="000000"/>
          <w:sz w:val="24"/>
        </w:rPr>
        <w:t xml:space="preserve">Patient-specific dataset pipeline</w:t>
      </w:r>
      <w:r>
        <w:rPr>
          <w:rFonts w:ascii="Open Sans" w:hAnsi="Open Sans" w:eastAsia="Open Sans" w:cs="Open Sans"/>
          <w:color w:val="000000"/>
          <w:sz w:val="24"/>
        </w:rPr>
        <w:t xml:space="preserve">: Automated generation methodology incorporating individualised geometries, material properties, and haemodynamic data.</w:t>
      </w:r>
      <w:r>
        <w:rPr>
          <w:rFonts w:ascii="Open Sans" w:hAnsi="Open Sans" w:eastAsia="Open Sans" w:cs="Open Sans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</w:rPr>
      </w:pPr>
      <w:r>
        <w:rPr>
          <w:rFonts w:ascii="Open Sans" w:hAnsi="Open Sans" w:eastAsia="Open Sans" w:cs="Open Sans"/>
          <w:b/>
          <w:color w:val="000000"/>
          <w:sz w:val="24"/>
        </w:rPr>
        <w:t xml:space="preserve">Stress-strain surrogate model</w:t>
      </w:r>
      <w:r>
        <w:rPr>
          <w:rFonts w:ascii="Open Sans" w:hAnsi="Open Sans" w:eastAsia="Open Sans" w:cs="Open Sans"/>
          <w:color w:val="000000"/>
          <w:sz w:val="24"/>
        </w:rPr>
        <w:t xml:space="preserve">: Neural network architecture trained to predict spatial distributions of Second Piola-Kirchhoff stress and Right Cauchy-Green strain tensors across heterogeneous patient anatomies.</w:t>
      </w:r>
      <w:r>
        <w:rPr>
          <w:rFonts w:ascii="Open Sans" w:hAnsi="Open Sans" w:eastAsia="Open Sans" w:cs="Open Sans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Open Sans" w:hAnsi="Open Sans" w:cs="Open Sans"/>
        </w:rPr>
      </w:pPr>
      <w:r>
        <w:rPr>
          <w:rFonts w:ascii="Open Sans" w:hAnsi="Open Sans" w:eastAsia="Open Sans" w:cs="Open Sans"/>
          <w:b/>
          <w:color w:val="000000"/>
          <w:sz w:val="24"/>
        </w:rPr>
        <w:t xml:space="preserve">Clinical translation efficiency</w:t>
      </w:r>
      <w:r>
        <w:rPr>
          <w:rFonts w:ascii="Open Sans" w:hAnsi="Open Sans" w:eastAsia="Open Sans" w:cs="Open Sans"/>
          <w:color w:val="000000"/>
          <w:sz w:val="24"/>
        </w:rPr>
        <w:t xml:space="preserve">: Demonstrates orders-of-magnitude computational acceleration compared to conventional finite element analysis, enabling point-of-care clinical applicability.</w:t>
      </w:r>
      <w:r>
        <w:rPr>
          <w:rFonts w:ascii="Open Sans" w:hAnsi="Open Sans" w:eastAsia="Open Sans" w:cs="Open Sans"/>
        </w:rPr>
      </w:r>
      <w:r>
        <w:rPr>
          <w:rFonts w:ascii="Open Sans" w:hAnsi="Open Sans" w:eastAsia="Open Sans" w:cs="Open Sans"/>
          <w:sz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3EA5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2025-10-28T19:08:36Z</dcterms:modified>
</cp:coreProperties>
</file>