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02C57"/>
          <w:sz w:val="44"/>
        </w:rPr>
        <w:t>ARCHITECTURAL EVALUATION REPORT</w:t>
      </w:r>
    </w:p>
    <w:p>
      <w:pPr>
        <w:spacing w:after="280"/>
      </w:pPr>
      <w:r>
        <w:rPr>
          <w:rFonts w:ascii="Arial" w:hAnsi="Arial"/>
          <w:i/>
          <w:color w:val="646E7D"/>
          <w:sz w:val="24"/>
        </w:rPr>
        <w:t>Strategic Assessment of Vite + React + Zustand paired with FastAPI on Vercel vs. Next.js SSR/RSC Architecture</w:t>
      </w:r>
    </w:p>
    <w:tbl>
      <w:tblPr>
        <w:tblW w:type="auto" w:w="0"/>
        <w:jc w:val="center"/>
        <w:tblLook w:firstColumn="1" w:firstRow="1" w:lastColumn="0" w:lastRow="0" w:noHBand="0" w:noVBand="1" w:val="04A0"/>
      </w:tblPr>
      <w:tblGrid>
        <w:gridCol w:w="4680"/>
        <w:gridCol w:w="4680"/>
      </w:tblGrid>
      <w:tr>
        <w:tc>
          <w:tcPr>
            <w:tcW w:type="dxa" w:w="3168"/>
            <w:shd w:fill="EBF1F6"/>
            <w:tcMar>
              <w:top w:w="60" w:type="dxa"/>
              <w:bottom w:w="60" w:type="dxa"/>
              <w:left w:w="100" w:type="dxa"/>
              <w:right w:w="100" w:type="dxa"/>
            </w:tcMar>
          </w:tcPr>
          <w:p>
            <w:pPr>
              <w:spacing w:before="40" w:after="40"/>
            </w:pPr>
            <w:r>
              <w:rPr>
                <w:rFonts w:ascii="Arial" w:hAnsi="Arial"/>
                <w:b/>
                <w:color w:val="102C57"/>
                <w:sz w:val="19"/>
              </w:rPr>
              <w:t>Evaluation Subject</w:t>
            </w:r>
          </w:p>
        </w:tc>
        <w:tc>
          <w:tcPr>
            <w:tcW w:type="dxa" w:w="6192"/>
            <w:shd w:fill="FAFBFC"/>
            <w:tcMar>
              <w:top w:w="60" w:type="dxa"/>
              <w:bottom w:w="60" w:type="dxa"/>
              <w:left w:w="100" w:type="dxa"/>
              <w:right w:w="100" w:type="dxa"/>
            </w:tcMar>
          </w:tcPr>
          <w:p>
            <w:pPr>
              <w:spacing w:before="40" w:after="40"/>
            </w:pPr>
            <w:r>
              <w:rPr>
                <w:rFonts w:ascii="Arial" w:hAnsi="Arial"/>
                <w:color w:val="282828"/>
                <w:sz w:val="19"/>
              </w:rPr>
              <w:t>Vite + React.js + Zustand + FastAPI on Vercel</w:t>
            </w:r>
          </w:p>
        </w:tc>
      </w:tr>
      <w:tr>
        <w:tc>
          <w:tcPr>
            <w:tcW w:type="dxa" w:w="3168"/>
            <w:shd w:fill="EBF1F6"/>
            <w:tcMar>
              <w:top w:w="60" w:type="dxa"/>
              <w:bottom w:w="60" w:type="dxa"/>
              <w:left w:w="100" w:type="dxa"/>
              <w:right w:w="100" w:type="dxa"/>
            </w:tcMar>
          </w:tcPr>
          <w:p>
            <w:pPr>
              <w:spacing w:before="40" w:after="40"/>
            </w:pPr>
            <w:r>
              <w:rPr>
                <w:rFonts w:ascii="Arial" w:hAnsi="Arial"/>
                <w:b/>
                <w:color w:val="102C57"/>
                <w:sz w:val="19"/>
              </w:rPr>
              <w:t>Core Architectural Paradigm</w:t>
            </w:r>
          </w:p>
        </w:tc>
        <w:tc>
          <w:tcPr>
            <w:tcW w:type="dxa" w:w="6192"/>
            <w:shd w:fill="FAFBFC"/>
            <w:tcMar>
              <w:top w:w="60" w:type="dxa"/>
              <w:bottom w:w="60" w:type="dxa"/>
              <w:left w:w="100" w:type="dxa"/>
              <w:right w:w="100" w:type="dxa"/>
            </w:tcMar>
          </w:tcPr>
          <w:p>
            <w:pPr>
              <w:spacing w:before="40" w:after="40"/>
            </w:pPr>
            <w:r>
              <w:rPr>
                <w:rFonts w:ascii="Arial" w:hAnsi="Arial"/>
                <w:color w:val="282828"/>
                <w:sz w:val="19"/>
              </w:rPr>
              <w:t>Decoupled Single-Page Application (CSR) + High-Performance ASGI REST API</w:t>
            </w:r>
          </w:p>
        </w:tc>
      </w:tr>
      <w:tr>
        <w:tc>
          <w:tcPr>
            <w:tcW w:type="dxa" w:w="3168"/>
            <w:shd w:fill="EBF1F6"/>
            <w:tcMar>
              <w:top w:w="60" w:type="dxa"/>
              <w:bottom w:w="60" w:type="dxa"/>
              <w:left w:w="100" w:type="dxa"/>
              <w:right w:w="100" w:type="dxa"/>
            </w:tcMar>
          </w:tcPr>
          <w:p>
            <w:pPr>
              <w:spacing w:before="40" w:after="40"/>
            </w:pPr>
            <w:r>
              <w:rPr>
                <w:rFonts w:ascii="Arial" w:hAnsi="Arial"/>
                <w:b/>
                <w:color w:val="102C57"/>
                <w:sz w:val="19"/>
              </w:rPr>
              <w:t>Comparative Benchmark</w:t>
            </w:r>
          </w:p>
        </w:tc>
        <w:tc>
          <w:tcPr>
            <w:tcW w:type="dxa" w:w="6192"/>
            <w:shd w:fill="FAFBFC"/>
            <w:tcMar>
              <w:top w:w="60" w:type="dxa"/>
              <w:bottom w:w="60" w:type="dxa"/>
              <w:left w:w="100" w:type="dxa"/>
              <w:right w:w="100" w:type="dxa"/>
            </w:tcMar>
          </w:tcPr>
          <w:p>
            <w:pPr>
              <w:spacing w:before="40" w:after="40"/>
            </w:pPr>
            <w:r>
              <w:rPr>
                <w:rFonts w:ascii="Arial" w:hAnsi="Arial"/>
                <w:color w:val="282828"/>
                <w:sz w:val="19"/>
              </w:rPr>
              <w:t>Next.js 14/15 App Router (SSR, RSC, Server Actions, BFF Pattern)</w:t>
            </w:r>
          </w:p>
        </w:tc>
      </w:tr>
      <w:tr>
        <w:tc>
          <w:tcPr>
            <w:tcW w:type="dxa" w:w="3168"/>
            <w:shd w:fill="EBF1F6"/>
            <w:tcMar>
              <w:top w:w="60" w:type="dxa"/>
              <w:bottom w:w="60" w:type="dxa"/>
              <w:left w:w="100" w:type="dxa"/>
              <w:right w:w="100" w:type="dxa"/>
            </w:tcMar>
          </w:tcPr>
          <w:p>
            <w:pPr>
              <w:spacing w:before="40" w:after="40"/>
            </w:pPr>
            <w:r>
              <w:rPr>
                <w:rFonts w:ascii="Arial" w:hAnsi="Arial"/>
                <w:b/>
                <w:color w:val="102C57"/>
                <w:sz w:val="19"/>
              </w:rPr>
              <w:t>Target Environment</w:t>
            </w:r>
          </w:p>
        </w:tc>
        <w:tc>
          <w:tcPr>
            <w:tcW w:type="dxa" w:w="6192"/>
            <w:shd w:fill="FAFBFC"/>
            <w:tcMar>
              <w:top w:w="60" w:type="dxa"/>
              <w:bottom w:w="60" w:type="dxa"/>
              <w:left w:w="100" w:type="dxa"/>
              <w:right w:w="100" w:type="dxa"/>
            </w:tcMar>
          </w:tcPr>
          <w:p>
            <w:pPr>
              <w:spacing w:before="40" w:after="40"/>
            </w:pPr>
            <w:r>
              <w:rPr>
                <w:rFonts w:ascii="Arial" w:hAnsi="Arial"/>
                <w:color w:val="282828"/>
                <w:sz w:val="19"/>
              </w:rPr>
              <w:t>Vercel Global Edge Network (CDN) &amp; Serverless Python / Container Runtime</w:t>
            </w:r>
          </w:p>
        </w:tc>
      </w:tr>
    </w:tbl>
    <w:p>
      <w:pPr>
        <w:spacing w:after="160"/>
      </w:pPr>
    </w:p>
    <w:p>
      <w:pPr>
        <w:pStyle w:val="Heading1"/>
        <w:keepNext/>
        <w:spacing w:before="280" w:after="80"/>
      </w:pPr>
      <w:r>
        <w:rPr>
          <w:b/>
          <w:color w:val="102C57"/>
          <w:sz w:val="36"/>
        </w:rPr>
        <w:t>1. Executive Verdict &amp; Core Architectural Assessment</w:t>
      </w:r>
    </w:p>
    <w:p>
      <w:r>
        <w:rPr>
          <w:rFonts w:ascii="Arial" w:hAnsi="Arial"/>
          <w:b/>
          <w:color w:val="102C57"/>
          <w:sz w:val="22"/>
        </w:rPr>
        <w:t>Strategic Verdict: STRONGLY AGREE (With Critical Architectural Caveats)</w:t>
      </w:r>
    </w:p>
    <w:p>
      <w:pPr>
        <w:spacing w:after="120"/>
      </w:pPr>
      <w:r>
        <w:t>Your recommendation to pair React.js (via Vite) with Zustand alongside a FastAPI backend is an exceptionally sound, battle-tested architectural decision for modern software engineering. For the vast majority of authenticated web applications, SaaS platforms, enterprise portals, AI-driven tooling, and internal dashboards, introducing Next.js introduces severe, unnecessary architectural friction—specifically the 'Double-Hop Network Anti-Pattern', complex dual-runtime mental overhead (Node.js SSR/RSC + Python ASGI), and hydration boundary management.</w:t>
      </w:r>
    </w:p>
    <w:p>
      <w:pPr>
        <w:spacing w:after="200"/>
      </w:pPr>
      <w:r>
        <w:t>However, an uncompromising architectural review requires highlighting three vital engineering nuances:</w:t>
        <w:br/>
        <w:t>1. The Server-State Dichotomy: Zustand should strictly manage global client-side UI/transient state (modals, auth tokens, client preferences). Server-originating state (caching, deduplication, invalidation, polling) should be delegated to TanStack Query (React Query) to prevent custom cache-reinvention bugs.</w:t>
        <w:br/>
        <w:t>2. Vercel's Python Serverless Limitations: While Vercel hosts Vite static bundles flawlessly on its global Edge CDN with zero cold starts, running FastAPI inside Vercel Serverless Functions introduces Python cold-start latencies (~800ms-1500ms), 500MB bundle caps, execution timeouts (10s on Hobby, up to 60s/300s on Pro/Fluid compute), and an inability to maintain persistent WebSockets or background Celery workers.</w:t>
        <w:br/>
        <w:t>3. SEO &amp; OpenGraph Boundaries: If public search engine indexing and dynamic crawler previews are fundamental business requirements, a pure client-side SPA will require pre-rendering or edge proxy metadata injection.</w:t>
      </w:r>
    </w:p>
    <w:p>
      <w:pPr>
        <w:pStyle w:val="Heading1"/>
        <w:keepNext/>
        <w:spacing w:before="280" w:after="80"/>
      </w:pPr>
      <w:r>
        <w:rPr>
          <w:b/>
          <w:color w:val="102C57"/>
          <w:sz w:val="36"/>
        </w:rPr>
        <w:t>2. Deep Architectural Rationale: Vite (SPA) vs. Next.js (SSR / RSC)</w:t>
      </w:r>
    </w:p>
    <w:p>
      <w:pPr>
        <w:pStyle w:val="Heading2"/>
        <w:keepNext/>
        <w:spacing w:before="280" w:after="80"/>
      </w:pPr>
      <w:r>
        <w:rPr>
          <w:b/>
          <w:color w:val="294B6B"/>
          <w:sz w:val="28"/>
        </w:rPr>
        <w:t>2.1 The 'Double-Hop' Backend-For-Frontend (BFF) Anti-Pattern</w:t>
      </w:r>
    </w:p>
    <w:p>
      <w:r>
        <w:t>When a development team selects Next.js alongside a robust Python/FastAPI backend, they inadvertently introduce a redundant intermediary tier. Next.js is not merely a view library; it is a full Node.js runtime server. In a Next.js + FastAPI setup, a client request often travels from the Browser -&gt; Next.js Node.js Server (via Server Actions / Route Handlers) -&gt; FastAPI Python Server -&gt; Database. This introduces network serialization overhead, doubled latency, distributed tracing complexity, and duplicated data validation logic.</w:t>
      </w:r>
    </w:p>
    <w:p>
      <w:r>
        <w:t>By contrast, React via Vite compiles to pure static HTML, CSS, and JavaScript. The assets are deployed to Vercel's Edge CDN, and client browsers communicate directly with the FastAPI ASGI endpoints via HTTP/2, HTTP/3, or WebSockets. FastAPI remains the single source of truth for business logic, authentication, and validation, eliminating the redundant Node.js middle tier entirely.</w:t>
      </w:r>
    </w:p>
    <w:p>
      <w:pPr>
        <w:pStyle w:val="Heading2"/>
        <w:keepNext/>
        <w:spacing w:before="280" w:after="80"/>
      </w:pPr>
      <w:r>
        <w:rPr>
          <w:b/>
          <w:color w:val="294B6B"/>
          <w:sz w:val="28"/>
        </w:rPr>
        <w:t>2.2 Dual-Runtime Mental Model &amp; Build Overhead</w:t>
      </w:r>
    </w:p>
    <w:p>
      <w:r>
        <w:t>Next.js App Router forces developers into React Server Components (RSC), requiring strict separation between client boundaries ('use client') and server boundaries ('use server'). This creates significant cognitive overhead, subtle hydration mismatches, and complex bundle isolation rules. In contrast, Vite leverages native ES Modules (ESM) during development powered by esbuild, delivering instant server start times (&lt;200ms) and lightning-fast Hot Module Replacement (HMR). Production builds compile via Rollup into highly optimized, immutable static chunks.</w:t>
      </w:r>
    </w:p>
    <w:p>
      <w:pPr>
        <w:pStyle w:val="Heading1"/>
        <w:keepNext/>
        <w:spacing w:before="280" w:after="80"/>
      </w:pPr>
      <w:r>
        <w:rPr>
          <w:b/>
          <w:color w:val="102C57"/>
          <w:sz w:val="36"/>
        </w:rPr>
        <w:t>3. State Management Deconstruction: Zustand &amp; The Server-State Dichotomy</w:t>
      </w:r>
    </w:p>
    <w:p>
      <w:r>
        <w:t>Zustand has emerged as the premier state management library for modern React applications, surpassing Redux Toolkit and the React Context API for several definitive reasons:</w:t>
      </w:r>
    </w:p>
    <w:p>
      <w:pPr>
        <w:pStyle w:val="ListBullet"/>
      </w:pPr>
      <w:r>
        <w:rPr>
          <w:b/>
        </w:rPr>
        <w:t xml:space="preserve">Zero Boilerplate &amp; Micro-Footprint: </w:t>
      </w:r>
      <w:r>
        <w:t>Zustand weighs ~1.1 KB (minified + gzipped), compared to Redux Toolkit (~11 KB) and MobX (~16 KB). It does not require Context Providers wrapping the component tree, preventing unnecessary tree unmounting and re-rendering.</w:t>
      </w:r>
    </w:p>
    <w:p>
      <w:pPr>
        <w:pStyle w:val="ListBullet"/>
      </w:pPr>
      <w:r>
        <w:rPr>
          <w:b/>
        </w:rPr>
        <w:t xml:space="preserve">Transient Subscriptions &amp; Selector Optimization: </w:t>
      </w:r>
      <w:r>
        <w:t>Components subscribe strictly to granular slices of state via selectors (e.g., `useStore(state =&gt; state.user)`). Zustand bypasses React's virtual DOM reconciliation for transient updates when needed, maximizing frame rates.</w:t>
      </w:r>
    </w:p>
    <w:p>
      <w:pPr>
        <w:pStyle w:val="ListBullet"/>
      </w:pPr>
      <w:r>
        <w:rPr>
          <w:b/>
        </w:rPr>
        <w:t xml:space="preserve">Non-React Context Execution: </w:t>
      </w:r>
      <w:r>
        <w:t>Zustand stores can be accessed and mutated outside the React component lifecycle. This is critical for reading auth tokens, renewing refresh tokens, and dispatching global alerts directly inside Axios or Fetch interceptors.</w:t>
      </w:r>
    </w:p>
    <w:p>
      <w:pPr>
        <w:pStyle w:val="Heading2"/>
        <w:keepNext/>
        <w:spacing w:before="280" w:after="80"/>
      </w:pPr>
      <w:r>
        <w:rPr>
          <w:b/>
          <w:color w:val="294B6B"/>
          <w:sz w:val="28"/>
        </w:rPr>
        <w:t>3.1 The Critical Missing Piece: TanStack Query (React Query)</w:t>
      </w:r>
    </w:p>
    <w:p>
      <w:r>
        <w:t>A common architectural antipattern in SPA development is treating asynchronous server data (API responses) as global client state inside Zustand. Server state is fundamentally different from client state: it is asynchronous, remotely owned, potentially stale, and requires caching, background re-fetching, deduplication, and optimistic mutations.</w:t>
      </w:r>
    </w:p>
    <w:p>
      <w:r>
        <w:t>The industry-standard best practice is a hybrid separation of concerns:</w:t>
        <w:br/>
        <w:t>• Zustand: Dedicated to pure synchronous client state (active modal ID, dark/light theme, sidebar toggle, draft form state, local UI preferences).</w:t>
        <w:br/>
        <w:t>• TanStack Query: Dedicated to asynchronous server state (FastAPI endpoints, caching, automatic retry, mutation rollbacks, window focus refetching).</w:t>
      </w:r>
    </w:p>
    <w:p>
      <w:pPr>
        <w:pStyle w:val="Heading1"/>
        <w:keepNext/>
        <w:spacing w:before="280" w:after="80"/>
      </w:pPr>
      <w:r>
        <w:rPr>
          <w:b/>
          <w:color w:val="102C57"/>
          <w:sz w:val="36"/>
        </w:rPr>
        <w:t>4. FastAPI Backend Synergy &amp; End-to-End Type Safety Pipeline</w:t>
      </w:r>
    </w:p>
    <w:p>
      <w:r>
        <w:t>FastAPI is an asynchronous, high-throughput Python framework built on Starlette and Pydantic. It provides automated OpenAPI (Swagger) generation directly from Python type hints. By combining FastAPI with a Vite + TypeScript frontend, engineering teams can achieve 100% end-to-end type safety without manual TypeScript interface duplication.</w:t>
      </w:r>
    </w:p>
    <w:p>
      <w:r>
        <w:t>The Automated Code-Generation Pipeline works as follows:</w:t>
        <w:br/>
        <w:t>1. FastAPI generates an updated OpenAPI JSON specification at `/openapi.json` upon code modification.</w:t>
        <w:br/>
        <w:t>2. A frontend script executes `openapi-typescript` or `orval` to convert the OpenAPI schema into strict TypeScript types and pre-typed TanStack Query hooks.</w:t>
        <w:br/>
        <w:t>3. Any breaking backend API change (e.g., field renaming, type mutation, endpoint deprecation) immediately triggers compile-time TypeScript errors in the React application during `vite build`.</w:t>
      </w:r>
    </w:p>
    <w:p>
      <w:pPr>
        <w:pStyle w:val="Heading1"/>
        <w:keepNext/>
        <w:spacing w:before="280" w:after="80"/>
      </w:pPr>
      <w:r>
        <w:rPr>
          <w:b/>
          <w:color w:val="102C57"/>
          <w:sz w:val="36"/>
        </w:rPr>
        <w:t>5. Deployment Dynamics on Vercel: Capabilities &amp; Hard Limitations</w:t>
      </w:r>
    </w:p>
    <w:p>
      <w:r>
        <w:t>Deploying a Vite + React + FastAPI architecture on Vercel offers distinct infrastructure advantages, but presents strict serverless limitations that every architect must understand.</w:t>
      </w:r>
    </w:p>
    <w:p>
      <w:pPr>
        <w:pStyle w:val="Heading2"/>
        <w:keepNext/>
        <w:spacing w:before="280" w:after="80"/>
      </w:pPr>
      <w:r>
        <w:rPr>
          <w:b/>
          <w:color w:val="294B6B"/>
          <w:sz w:val="28"/>
        </w:rPr>
        <w:t>5.1 Frontend Deployment: The Edge CDN Advantage</w:t>
      </w:r>
    </w:p>
    <w:p>
      <w:r>
        <w:t>Vite builds produce immutable static assets (`/dist`) comprising HTML, chunked JavaScript, and CSS. Vercel automatically deploys these to its global Edge Network (Anycast CDN). Results include:</w:t>
        <w:br/>
        <w:t>• Zero Cold Starts: No server runtime or container spin-up time.</w:t>
        <w:br/>
        <w:t>• Sub-50ms Global Time-to-First-Byte (TTFB): Assets are served from the closest edge point-of-presence (PoP).</w:t>
        <w:br/>
        <w:t>• Near-Zero Infrastructure Cost: Serving static assets incurs virtually no compute overhead.</w:t>
      </w:r>
    </w:p>
    <w:p>
      <w:pPr>
        <w:pStyle w:val="Heading2"/>
        <w:keepNext/>
        <w:spacing w:before="280" w:after="80"/>
      </w:pPr>
      <w:r>
        <w:rPr>
          <w:b/>
          <w:color w:val="294B6B"/>
          <w:sz w:val="28"/>
        </w:rPr>
        <w:t>5.2 Backend Deployment: Vercel Python Serverless Constraints</w:t>
      </w:r>
    </w:p>
    <w:p>
      <w:r>
        <w:t>Vercel natively supports Python via `@vercel/python` (invoking ASGI apps like FastAPI through serverless workers). While functional for simple REST APIs, architects must evaluate the following production constraints:</w:t>
      </w:r>
    </w:p>
    <w:p>
      <w:pPr>
        <w:pStyle w:val="ListBullet"/>
      </w:pPr>
      <w:r>
        <w:rPr>
          <w:b/>
        </w:rPr>
        <w:t xml:space="preserve">Cold Start Latencies: </w:t>
      </w:r>
      <w:r>
        <w:t>Python serverless execution requires spinning up a Python 3.12+ interpreter and loading dependencies, introducing an initial cold start latency of 800ms to 1800ms.</w:t>
      </w:r>
    </w:p>
    <w:p>
      <w:pPr>
        <w:pStyle w:val="ListBullet"/>
      </w:pPr>
      <w:r>
        <w:rPr>
          <w:b/>
        </w:rPr>
        <w:t xml:space="preserve">Connection &amp; Execution Timeouts: </w:t>
      </w:r>
      <w:r>
        <w:t>Vercel Serverless Functions have maximum execution durations (10s on Hobby, up to 60s/300s on Pro / Fluid compute). Long-running AI inference, video processing, or bulk reporting will fail.</w:t>
      </w:r>
    </w:p>
    <w:p>
      <w:pPr>
        <w:pStyle w:val="ListBullet"/>
      </w:pPr>
      <w:r>
        <w:rPr>
          <w:b/>
        </w:rPr>
        <w:t xml:space="preserve">Absence of Persistent WebSockets: </w:t>
      </w:r>
      <w:r>
        <w:t>Because Vercel serverless functions terminate immediately after response delivery, persistent bidirectional WebSocket connections (e.g., live collaborative cursors or active streaming feeds) cannot run inside serverless FastAPI. (They require an external service like Pusher, Ably, or a dedicated container).</w:t>
      </w:r>
    </w:p>
    <w:p>
      <w:pPr>
        <w:pStyle w:val="ListBullet"/>
      </w:pPr>
      <w:r>
        <w:rPr>
          <w:b/>
        </w:rPr>
        <w:t xml:space="preserve">Bundle Size Caps: </w:t>
      </w:r>
      <w:r>
        <w:t>Vercel limits uncompressed Python bundles to 500MB (standard) or up to 5GB on Fluid compute beta. Heavy machine learning dependencies (e.g., PyTorch, TensorFlow, heavy OpenCV builds) risk deployment rejection.</w:t>
      </w:r>
    </w:p>
    <w:p>
      <w:pPr>
        <w:pStyle w:val="ListBullet"/>
      </w:pPr>
      <w:r>
        <w:rPr>
          <w:b/>
        </w:rPr>
        <w:t xml:space="preserve">Background Workers &amp; Queues: </w:t>
      </w:r>
      <w:r>
        <w:t>FastAPI `BackgroundTasks` are interrupted if the serverless function terminates prematurely. Distributed worker frameworks like Celery + Redis cannot be hosted directly inside Vercel.</w:t>
      </w:r>
    </w:p>
    <w:p>
      <w:pPr>
        <w:pStyle w:val="Heading2"/>
        <w:keepNext/>
        <w:spacing w:before="280" w:after="80"/>
      </w:pPr>
      <w:r>
        <w:rPr>
          <w:b/>
          <w:color w:val="294B6B"/>
          <w:sz w:val="28"/>
        </w:rPr>
        <w:t>5.3 Recommended Production Topologies</w:t>
      </w:r>
    </w:p>
    <w:p>
      <w:r>
        <w:t>Based on technical requirements, two deployment architectures are recommended:</w:t>
        <w:br/>
        <w:t>• Topology A (Unified Vercel Monorepo): Best for lightweight CRUD, standard microservices, and internal SaaS with moderate traffic. Vite SPA in `/src` + FastAPI endpoints in `/api`. Zero DevOps overhead.</w:t>
        <w:br/>
        <w:t>• Topology B (Decoupled Hybrid Architecture - Recommended for Scale/AI/WebSockets): Vite SPA hosted on Vercel Global Edge CDN (providing instant frontend delivery), paired with FastAPI deployed as a containerized service on AWS ECS / Fargate, Google Cloud Run, Fly.io, or Railway. This unlocks persistent WebSockets, Celery task queues, database connection pooling (PgBouncer), and zero cold starts.</w:t>
      </w:r>
    </w:p>
    <w:p>
      <w:pPr>
        <w:pStyle w:val="Heading1"/>
        <w:keepNext/>
        <w:spacing w:before="280" w:after="80"/>
      </w:pPr>
      <w:r>
        <w:rPr>
          <w:b/>
          <w:color w:val="102C57"/>
          <w:sz w:val="36"/>
        </w:rPr>
        <w:t>6. Head-to-Head Architectural Evaluation Matrix</w:t>
      </w:r>
    </w:p>
    <w:tbl>
      <w:tblPr>
        <w:tblW w:type="auto" w:w="0"/>
        <w:jc w:val="center"/>
        <w:tblLook w:firstColumn="1" w:firstRow="1" w:lastColumn="0" w:lastRow="0" w:noHBand="0" w:noVBand="1" w:val="04A0"/>
      </w:tblPr>
      <w:tblGrid>
        <w:gridCol w:w="2340"/>
        <w:gridCol w:w="2340"/>
        <w:gridCol w:w="2340"/>
        <w:gridCol w:w="2340"/>
      </w:tblGrid>
      <w:tr>
        <w:tc>
          <w:tcPr>
            <w:tcW w:type="dxa" w:w="2160"/>
            <w:shd w:fill="102C57"/>
            <w:tcMar>
              <w:top w:w="100" w:type="dxa"/>
              <w:bottom w:w="100" w:type="dxa"/>
              <w:left w:w="100" w:type="dxa"/>
              <w:right w:w="100" w:type="dxa"/>
            </w:tcMar>
          </w:tcPr>
          <w:p>
            <w:pPr>
              <w:jc w:val="center"/>
            </w:pPr>
            <w:r>
              <w:rPr>
                <w:rFonts w:ascii="Arial" w:hAnsi="Arial"/>
                <w:b/>
                <w:color w:val="FFFFFF"/>
                <w:sz w:val="18"/>
              </w:rPr>
              <w:t>Evaluation Dimension</w:t>
            </w:r>
          </w:p>
        </w:tc>
        <w:tc>
          <w:tcPr>
            <w:tcW w:type="dxa" w:w="2592"/>
            <w:shd w:fill="102C57"/>
            <w:tcMar>
              <w:top w:w="100" w:type="dxa"/>
              <w:bottom w:w="100" w:type="dxa"/>
              <w:left w:w="100" w:type="dxa"/>
              <w:right w:w="100" w:type="dxa"/>
            </w:tcMar>
          </w:tcPr>
          <w:p>
            <w:pPr>
              <w:jc w:val="center"/>
            </w:pPr>
            <w:r>
              <w:rPr>
                <w:rFonts w:ascii="Arial" w:hAnsi="Arial"/>
                <w:b/>
                <w:color w:val="FFFFFF"/>
                <w:sz w:val="18"/>
              </w:rPr>
              <w:t>React (Vite) + Zustand + FastAPI</w:t>
            </w:r>
          </w:p>
        </w:tc>
        <w:tc>
          <w:tcPr>
            <w:tcW w:type="dxa" w:w="2592"/>
            <w:shd w:fill="102C57"/>
            <w:tcMar>
              <w:top w:w="100" w:type="dxa"/>
              <w:bottom w:w="100" w:type="dxa"/>
              <w:left w:w="100" w:type="dxa"/>
              <w:right w:w="100" w:type="dxa"/>
            </w:tcMar>
          </w:tcPr>
          <w:p>
            <w:pPr>
              <w:jc w:val="center"/>
            </w:pPr>
            <w:r>
              <w:rPr>
                <w:rFonts w:ascii="Arial" w:hAnsi="Arial"/>
                <w:b/>
                <w:color w:val="FFFFFF"/>
                <w:sz w:val="18"/>
              </w:rPr>
              <w:t>Next.js (App Router / RSC) + FastAPI</w:t>
            </w:r>
          </w:p>
        </w:tc>
        <w:tc>
          <w:tcPr>
            <w:tcW w:type="dxa" w:w="2304"/>
            <w:shd w:fill="102C57"/>
            <w:tcMar>
              <w:top w:w="100" w:type="dxa"/>
              <w:bottom w:w="100" w:type="dxa"/>
              <w:left w:w="100" w:type="dxa"/>
              <w:right w:w="100" w:type="dxa"/>
            </w:tcMar>
          </w:tcPr>
          <w:p>
            <w:pPr>
              <w:jc w:val="center"/>
            </w:pPr>
            <w:r>
              <w:rPr>
                <w:rFonts w:ascii="Arial" w:hAnsi="Arial"/>
                <w:b/>
                <w:color w:val="FFFFFF"/>
                <w:sz w:val="18"/>
              </w:rPr>
              <w:t>TanStack Start / Remix + FastAPI</w:t>
            </w:r>
          </w:p>
        </w:tc>
      </w:tr>
      <w:tr>
        <w:tc>
          <w:tcPr>
            <w:tcW w:type="dxa" w:w="2160"/>
            <w:shd w:fill="F9FAFB"/>
            <w:tcMar>
              <w:top w:w="80" w:type="dxa"/>
              <w:bottom w:w="80" w:type="dxa"/>
              <w:left w:w="100" w:type="dxa"/>
              <w:right w:w="100" w:type="dxa"/>
            </w:tcMar>
          </w:tcPr>
          <w:p>
            <w:pPr>
              <w:jc w:val="center"/>
            </w:pPr>
            <w:r>
              <w:rPr>
                <w:rFonts w:ascii="Arial" w:hAnsi="Arial"/>
                <w:b/>
                <w:color w:val="102C57"/>
                <w:sz w:val="17"/>
              </w:rPr>
              <w:t>Frontend Runtime Model</w:t>
            </w:r>
          </w:p>
        </w:tc>
        <w:tc>
          <w:tcPr>
            <w:tcW w:type="dxa" w:w="2592"/>
            <w:shd w:fill="F9FAFB"/>
            <w:tcMar>
              <w:top w:w="80" w:type="dxa"/>
              <w:bottom w:w="80" w:type="dxa"/>
              <w:left w:w="100" w:type="dxa"/>
              <w:right w:w="100" w:type="dxa"/>
            </w:tcMar>
          </w:tcPr>
          <w:p>
            <w:pPr>
              <w:jc w:val="left"/>
            </w:pPr>
            <w:r>
              <w:rPr>
                <w:rFonts w:ascii="Arial" w:hAnsi="Arial"/>
                <w:color w:val="282828"/>
                <w:sz w:val="17"/>
              </w:rPr>
              <w:t>Pure Client-Side (SPA / CSR)</w:t>
              <w:br/>
              <w:t>Static Edge Distribution</w:t>
            </w:r>
          </w:p>
        </w:tc>
        <w:tc>
          <w:tcPr>
            <w:tcW w:type="dxa" w:w="2592"/>
            <w:shd w:fill="F9FAFB"/>
            <w:tcMar>
              <w:top w:w="80" w:type="dxa"/>
              <w:bottom w:w="80" w:type="dxa"/>
              <w:left w:w="100" w:type="dxa"/>
              <w:right w:w="100" w:type="dxa"/>
            </w:tcMar>
          </w:tcPr>
          <w:p>
            <w:pPr>
              <w:jc w:val="left"/>
            </w:pPr>
            <w:r>
              <w:rPr>
                <w:rFonts w:ascii="Arial" w:hAnsi="Arial"/>
                <w:color w:val="282828"/>
                <w:sz w:val="17"/>
              </w:rPr>
              <w:t>Dual Server/Client (RSC / SSR)</w:t>
              <w:br/>
              <w:t>Node.js Runtime on Vercel</w:t>
            </w:r>
          </w:p>
        </w:tc>
        <w:tc>
          <w:tcPr>
            <w:tcW w:type="dxa" w:w="2304"/>
            <w:shd w:fill="F9FAFB"/>
            <w:tcMar>
              <w:top w:w="80" w:type="dxa"/>
              <w:bottom w:w="80" w:type="dxa"/>
              <w:left w:w="100" w:type="dxa"/>
              <w:right w:w="100" w:type="dxa"/>
            </w:tcMar>
          </w:tcPr>
          <w:p>
            <w:pPr>
              <w:jc w:val="left"/>
            </w:pPr>
            <w:r>
              <w:rPr>
                <w:rFonts w:ascii="Arial" w:hAnsi="Arial"/>
                <w:color w:val="282828"/>
                <w:sz w:val="17"/>
              </w:rPr>
              <w:t>Server-Side Rendered (SSR)</w:t>
              <w:br/>
              <w:t>Node.js / Edge Runtime</w:t>
            </w:r>
          </w:p>
        </w:tc>
      </w:tr>
      <w:tr>
        <w:tc>
          <w:tcPr>
            <w:tcW w:type="dxa" w:w="2160"/>
            <w:shd w:fill="FFFFFF"/>
            <w:tcMar>
              <w:top w:w="80" w:type="dxa"/>
              <w:bottom w:w="80" w:type="dxa"/>
              <w:left w:w="100" w:type="dxa"/>
              <w:right w:w="100" w:type="dxa"/>
            </w:tcMar>
          </w:tcPr>
          <w:p>
            <w:pPr>
              <w:jc w:val="center"/>
            </w:pPr>
            <w:r>
              <w:rPr>
                <w:rFonts w:ascii="Arial" w:hAnsi="Arial"/>
                <w:b/>
                <w:color w:val="102C57"/>
                <w:sz w:val="17"/>
              </w:rPr>
              <w:t>Backend Topology</w:t>
            </w:r>
          </w:p>
        </w:tc>
        <w:tc>
          <w:tcPr>
            <w:tcW w:type="dxa" w:w="2592"/>
            <w:shd w:fill="FFFFFF"/>
            <w:tcMar>
              <w:top w:w="80" w:type="dxa"/>
              <w:bottom w:w="80" w:type="dxa"/>
              <w:left w:w="100" w:type="dxa"/>
              <w:right w:w="100" w:type="dxa"/>
            </w:tcMar>
          </w:tcPr>
          <w:p>
            <w:pPr>
              <w:jc w:val="left"/>
            </w:pPr>
            <w:r>
              <w:rPr>
                <w:rFonts w:ascii="Arial" w:hAnsi="Arial"/>
                <w:color w:val="282828"/>
                <w:sz w:val="17"/>
              </w:rPr>
              <w:t>Decoupled FastAPI (Direct API / WebSocket)</w:t>
            </w:r>
          </w:p>
        </w:tc>
        <w:tc>
          <w:tcPr>
            <w:tcW w:type="dxa" w:w="2592"/>
            <w:shd w:fill="FFFFFF"/>
            <w:tcMar>
              <w:top w:w="80" w:type="dxa"/>
              <w:bottom w:w="80" w:type="dxa"/>
              <w:left w:w="100" w:type="dxa"/>
              <w:right w:w="100" w:type="dxa"/>
            </w:tcMar>
          </w:tcPr>
          <w:p>
            <w:pPr>
              <w:jc w:val="left"/>
            </w:pPr>
            <w:r>
              <w:rPr>
                <w:rFonts w:ascii="Arial" w:hAnsi="Arial"/>
                <w:color w:val="282828"/>
                <w:sz w:val="17"/>
              </w:rPr>
              <w:t>Redundant BFF (Browser -&gt; Next.js Node -&gt; FastAPI)</w:t>
            </w:r>
          </w:p>
        </w:tc>
        <w:tc>
          <w:tcPr>
            <w:tcW w:type="dxa" w:w="2304"/>
            <w:shd w:fill="FFFFFF"/>
            <w:tcMar>
              <w:top w:w="80" w:type="dxa"/>
              <w:bottom w:w="80" w:type="dxa"/>
              <w:left w:w="100" w:type="dxa"/>
              <w:right w:w="100" w:type="dxa"/>
            </w:tcMar>
          </w:tcPr>
          <w:p>
            <w:pPr>
              <w:jc w:val="left"/>
            </w:pPr>
            <w:r>
              <w:rPr>
                <w:rFonts w:ascii="Arial" w:hAnsi="Arial"/>
                <w:color w:val="282828"/>
                <w:sz w:val="17"/>
              </w:rPr>
              <w:t>Optional BFF or Direct Client Loaders</w:t>
            </w:r>
          </w:p>
        </w:tc>
      </w:tr>
      <w:tr>
        <w:tc>
          <w:tcPr>
            <w:tcW w:type="dxa" w:w="2160"/>
            <w:shd w:fill="F9FAFB"/>
            <w:tcMar>
              <w:top w:w="80" w:type="dxa"/>
              <w:bottom w:w="80" w:type="dxa"/>
              <w:left w:w="100" w:type="dxa"/>
              <w:right w:w="100" w:type="dxa"/>
            </w:tcMar>
          </w:tcPr>
          <w:p>
            <w:pPr>
              <w:jc w:val="center"/>
            </w:pPr>
            <w:r>
              <w:rPr>
                <w:rFonts w:ascii="Arial" w:hAnsi="Arial"/>
                <w:b/>
                <w:color w:val="102C57"/>
                <w:sz w:val="17"/>
              </w:rPr>
              <w:t>Time to First Byte (TTFB)</w:t>
            </w:r>
          </w:p>
        </w:tc>
        <w:tc>
          <w:tcPr>
            <w:tcW w:type="dxa" w:w="2592"/>
            <w:shd w:fill="F9FAFB"/>
            <w:tcMar>
              <w:top w:w="80" w:type="dxa"/>
              <w:bottom w:w="80" w:type="dxa"/>
              <w:left w:w="100" w:type="dxa"/>
              <w:right w:w="100" w:type="dxa"/>
            </w:tcMar>
          </w:tcPr>
          <w:p>
            <w:pPr>
              <w:jc w:val="left"/>
            </w:pPr>
            <w:r>
              <w:rPr>
                <w:rFonts w:ascii="Arial" w:hAnsi="Arial"/>
                <w:color w:val="282828"/>
                <w:sz w:val="17"/>
              </w:rPr>
              <w:t>Sub-50ms (Cached Edge Static Assets)</w:t>
            </w:r>
          </w:p>
        </w:tc>
        <w:tc>
          <w:tcPr>
            <w:tcW w:type="dxa" w:w="2592"/>
            <w:shd w:fill="F9FAFB"/>
            <w:tcMar>
              <w:top w:w="80" w:type="dxa"/>
              <w:bottom w:w="80" w:type="dxa"/>
              <w:left w:w="100" w:type="dxa"/>
              <w:right w:w="100" w:type="dxa"/>
            </w:tcMar>
          </w:tcPr>
          <w:p>
            <w:pPr>
              <w:jc w:val="left"/>
            </w:pPr>
            <w:r>
              <w:rPr>
                <w:rFonts w:ascii="Arial" w:hAnsi="Arial"/>
                <w:color w:val="282828"/>
                <w:sz w:val="17"/>
              </w:rPr>
              <w:t>150ms - 600ms (Dynamic Server Execution)</w:t>
            </w:r>
          </w:p>
        </w:tc>
        <w:tc>
          <w:tcPr>
            <w:tcW w:type="dxa" w:w="2304"/>
            <w:shd w:fill="F9FAFB"/>
            <w:tcMar>
              <w:top w:w="80" w:type="dxa"/>
              <w:bottom w:w="80" w:type="dxa"/>
              <w:left w:w="100" w:type="dxa"/>
              <w:right w:w="100" w:type="dxa"/>
            </w:tcMar>
          </w:tcPr>
          <w:p>
            <w:pPr>
              <w:jc w:val="left"/>
            </w:pPr>
            <w:r>
              <w:rPr>
                <w:rFonts w:ascii="Arial" w:hAnsi="Arial"/>
                <w:color w:val="282828"/>
                <w:sz w:val="17"/>
              </w:rPr>
              <w:t>100ms - 400ms (Dynamic Server Execution)</w:t>
            </w:r>
          </w:p>
        </w:tc>
      </w:tr>
      <w:tr>
        <w:tc>
          <w:tcPr>
            <w:tcW w:type="dxa" w:w="2160"/>
            <w:shd w:fill="FFFFFF"/>
            <w:tcMar>
              <w:top w:w="80" w:type="dxa"/>
              <w:bottom w:w="80" w:type="dxa"/>
              <w:left w:w="100" w:type="dxa"/>
              <w:right w:w="100" w:type="dxa"/>
            </w:tcMar>
          </w:tcPr>
          <w:p>
            <w:pPr>
              <w:jc w:val="center"/>
            </w:pPr>
            <w:r>
              <w:rPr>
                <w:rFonts w:ascii="Arial" w:hAnsi="Arial"/>
                <w:b/>
                <w:color w:val="102C57"/>
                <w:sz w:val="17"/>
              </w:rPr>
              <w:t>First Contentful Paint (FCP)</w:t>
            </w:r>
          </w:p>
        </w:tc>
        <w:tc>
          <w:tcPr>
            <w:tcW w:type="dxa" w:w="2592"/>
            <w:shd w:fill="FFFFFF"/>
            <w:tcMar>
              <w:top w:w="80" w:type="dxa"/>
              <w:bottom w:w="80" w:type="dxa"/>
              <w:left w:w="100" w:type="dxa"/>
              <w:right w:w="100" w:type="dxa"/>
            </w:tcMar>
          </w:tcPr>
          <w:p>
            <w:pPr>
              <w:jc w:val="left"/>
            </w:pPr>
            <w:r>
              <w:rPr>
                <w:rFonts w:ascii="Arial" w:hAnsi="Arial"/>
                <w:color w:val="282828"/>
                <w:sz w:val="17"/>
              </w:rPr>
              <w:t>Fast on high-speed networks; Requires JS download</w:t>
            </w:r>
          </w:p>
        </w:tc>
        <w:tc>
          <w:tcPr>
            <w:tcW w:type="dxa" w:w="2592"/>
            <w:shd w:fill="FFFFFF"/>
            <w:tcMar>
              <w:top w:w="80" w:type="dxa"/>
              <w:bottom w:w="80" w:type="dxa"/>
              <w:left w:w="100" w:type="dxa"/>
              <w:right w:w="100" w:type="dxa"/>
            </w:tcMar>
          </w:tcPr>
          <w:p>
            <w:pPr>
              <w:jc w:val="left"/>
            </w:pPr>
            <w:r>
              <w:rPr>
                <w:rFonts w:ascii="Arial" w:hAnsi="Arial"/>
                <w:color w:val="282828"/>
                <w:sz w:val="17"/>
              </w:rPr>
              <w:t>Near Instant (Pre-rendered HTML over wire)</w:t>
            </w:r>
          </w:p>
        </w:tc>
        <w:tc>
          <w:tcPr>
            <w:tcW w:type="dxa" w:w="2304"/>
            <w:shd w:fill="FFFFFF"/>
            <w:tcMar>
              <w:top w:w="80" w:type="dxa"/>
              <w:bottom w:w="80" w:type="dxa"/>
              <w:left w:w="100" w:type="dxa"/>
              <w:right w:w="100" w:type="dxa"/>
            </w:tcMar>
          </w:tcPr>
          <w:p>
            <w:pPr>
              <w:jc w:val="left"/>
            </w:pPr>
            <w:r>
              <w:rPr>
                <w:rFonts w:ascii="Arial" w:hAnsi="Arial"/>
                <w:color w:val="282828"/>
                <w:sz w:val="17"/>
              </w:rPr>
              <w:t>Near Instant (Pre-rendered HTML over wire)</w:t>
            </w:r>
          </w:p>
        </w:tc>
      </w:tr>
      <w:tr>
        <w:tc>
          <w:tcPr>
            <w:tcW w:type="dxa" w:w="2160"/>
            <w:shd w:fill="F9FAFB"/>
            <w:tcMar>
              <w:top w:w="80" w:type="dxa"/>
              <w:bottom w:w="80" w:type="dxa"/>
              <w:left w:w="100" w:type="dxa"/>
              <w:right w:w="100" w:type="dxa"/>
            </w:tcMar>
          </w:tcPr>
          <w:p>
            <w:pPr>
              <w:jc w:val="center"/>
            </w:pPr>
            <w:r>
              <w:rPr>
                <w:rFonts w:ascii="Arial" w:hAnsi="Arial"/>
                <w:b/>
                <w:color w:val="102C57"/>
                <w:sz w:val="17"/>
              </w:rPr>
              <w:t>SEO &amp; Social Metadata</w:t>
            </w:r>
          </w:p>
        </w:tc>
        <w:tc>
          <w:tcPr>
            <w:tcW w:type="dxa" w:w="2592"/>
            <w:shd w:fill="F9FAFB"/>
            <w:tcMar>
              <w:top w:w="80" w:type="dxa"/>
              <w:bottom w:w="80" w:type="dxa"/>
              <w:left w:w="100" w:type="dxa"/>
              <w:right w:w="100" w:type="dxa"/>
            </w:tcMar>
          </w:tcPr>
          <w:p>
            <w:pPr>
              <w:jc w:val="left"/>
            </w:pPr>
            <w:r>
              <w:rPr>
                <w:rFonts w:ascii="Arial" w:hAnsi="Arial"/>
                <w:color w:val="282828"/>
                <w:sz w:val="17"/>
              </w:rPr>
              <w:t>Requires Prerender/Edge rewrites for crawlers</w:t>
            </w:r>
          </w:p>
        </w:tc>
        <w:tc>
          <w:tcPr>
            <w:tcW w:type="dxa" w:w="2592"/>
            <w:shd w:fill="F9FAFB"/>
            <w:tcMar>
              <w:top w:w="80" w:type="dxa"/>
              <w:bottom w:w="80" w:type="dxa"/>
              <w:left w:w="100" w:type="dxa"/>
              <w:right w:w="100" w:type="dxa"/>
            </w:tcMar>
          </w:tcPr>
          <w:p>
            <w:pPr>
              <w:jc w:val="left"/>
            </w:pPr>
            <w:r>
              <w:rPr>
                <w:rFonts w:ascii="Arial" w:hAnsi="Arial"/>
                <w:color w:val="282828"/>
                <w:sz w:val="17"/>
              </w:rPr>
              <w:t>Native dynamic SSR metadata &amp; OG image gen</w:t>
            </w:r>
          </w:p>
        </w:tc>
        <w:tc>
          <w:tcPr>
            <w:tcW w:type="dxa" w:w="2304"/>
            <w:shd w:fill="F9FAFB"/>
            <w:tcMar>
              <w:top w:w="80" w:type="dxa"/>
              <w:bottom w:w="80" w:type="dxa"/>
              <w:left w:w="100" w:type="dxa"/>
              <w:right w:w="100" w:type="dxa"/>
            </w:tcMar>
          </w:tcPr>
          <w:p>
            <w:pPr>
              <w:jc w:val="left"/>
            </w:pPr>
            <w:r>
              <w:rPr>
                <w:rFonts w:ascii="Arial" w:hAnsi="Arial"/>
                <w:color w:val="282828"/>
                <w:sz w:val="17"/>
              </w:rPr>
              <w:t>Native dynamic SSR metadata</w:t>
            </w:r>
          </w:p>
        </w:tc>
      </w:tr>
      <w:tr>
        <w:tc>
          <w:tcPr>
            <w:tcW w:type="dxa" w:w="2160"/>
            <w:shd w:fill="FFFFFF"/>
            <w:tcMar>
              <w:top w:w="80" w:type="dxa"/>
              <w:bottom w:w="80" w:type="dxa"/>
              <w:left w:w="100" w:type="dxa"/>
              <w:right w:w="100" w:type="dxa"/>
            </w:tcMar>
          </w:tcPr>
          <w:p>
            <w:pPr>
              <w:jc w:val="center"/>
            </w:pPr>
            <w:r>
              <w:rPr>
                <w:rFonts w:ascii="Arial" w:hAnsi="Arial"/>
                <w:b/>
                <w:color w:val="102C57"/>
                <w:sz w:val="17"/>
              </w:rPr>
              <w:t>Developer Experience (DX)</w:t>
            </w:r>
          </w:p>
        </w:tc>
        <w:tc>
          <w:tcPr>
            <w:tcW w:type="dxa" w:w="2592"/>
            <w:shd w:fill="FFFFFF"/>
            <w:tcMar>
              <w:top w:w="80" w:type="dxa"/>
              <w:bottom w:w="80" w:type="dxa"/>
              <w:left w:w="100" w:type="dxa"/>
              <w:right w:w="100" w:type="dxa"/>
            </w:tcMar>
          </w:tcPr>
          <w:p>
            <w:pPr>
              <w:jc w:val="left"/>
            </w:pPr>
            <w:r>
              <w:rPr>
                <w:rFonts w:ascii="Arial" w:hAnsi="Arial"/>
                <w:color w:val="282828"/>
                <w:sz w:val="17"/>
              </w:rPr>
              <w:t>Instant (&lt;200ms) HMR via Vite / esbuild</w:t>
            </w:r>
          </w:p>
        </w:tc>
        <w:tc>
          <w:tcPr>
            <w:tcW w:type="dxa" w:w="2592"/>
            <w:shd w:fill="FFFFFF"/>
            <w:tcMar>
              <w:top w:w="80" w:type="dxa"/>
              <w:bottom w:w="80" w:type="dxa"/>
              <w:left w:w="100" w:type="dxa"/>
              <w:right w:w="100" w:type="dxa"/>
            </w:tcMar>
          </w:tcPr>
          <w:p>
            <w:pPr>
              <w:jc w:val="left"/>
            </w:pPr>
            <w:r>
              <w:rPr>
                <w:rFonts w:ascii="Arial" w:hAnsi="Arial"/>
                <w:color w:val="282828"/>
                <w:sz w:val="17"/>
              </w:rPr>
              <w:t>Slower compilation; Complex Server/Client rules</w:t>
            </w:r>
          </w:p>
        </w:tc>
        <w:tc>
          <w:tcPr>
            <w:tcW w:type="dxa" w:w="2304"/>
            <w:shd w:fill="FFFFFF"/>
            <w:tcMar>
              <w:top w:w="80" w:type="dxa"/>
              <w:bottom w:w="80" w:type="dxa"/>
              <w:left w:w="100" w:type="dxa"/>
              <w:right w:w="100" w:type="dxa"/>
            </w:tcMar>
          </w:tcPr>
          <w:p>
            <w:pPr>
              <w:jc w:val="left"/>
            </w:pPr>
            <w:r>
              <w:rPr>
                <w:rFonts w:ascii="Arial" w:hAnsi="Arial"/>
                <w:color w:val="282828"/>
                <w:sz w:val="17"/>
              </w:rPr>
              <w:t>Fast HMR via Vite; Streamlined loaders</w:t>
            </w:r>
          </w:p>
        </w:tc>
      </w:tr>
      <w:tr>
        <w:tc>
          <w:tcPr>
            <w:tcW w:type="dxa" w:w="2160"/>
            <w:shd w:fill="F9FAFB"/>
            <w:tcMar>
              <w:top w:w="80" w:type="dxa"/>
              <w:bottom w:w="80" w:type="dxa"/>
              <w:left w:w="100" w:type="dxa"/>
              <w:right w:w="100" w:type="dxa"/>
            </w:tcMar>
          </w:tcPr>
          <w:p>
            <w:pPr>
              <w:jc w:val="center"/>
            </w:pPr>
            <w:r>
              <w:rPr>
                <w:rFonts w:ascii="Arial" w:hAnsi="Arial"/>
                <w:b/>
                <w:color w:val="102C57"/>
                <w:sz w:val="17"/>
              </w:rPr>
              <w:t>State Management</w:t>
            </w:r>
          </w:p>
        </w:tc>
        <w:tc>
          <w:tcPr>
            <w:tcW w:type="dxa" w:w="2592"/>
            <w:shd w:fill="F9FAFB"/>
            <w:tcMar>
              <w:top w:w="80" w:type="dxa"/>
              <w:bottom w:w="80" w:type="dxa"/>
              <w:left w:w="100" w:type="dxa"/>
              <w:right w:w="100" w:type="dxa"/>
            </w:tcMar>
          </w:tcPr>
          <w:p>
            <w:pPr>
              <w:jc w:val="left"/>
            </w:pPr>
            <w:r>
              <w:rPr>
                <w:rFonts w:ascii="Arial" w:hAnsi="Arial"/>
                <w:color w:val="282828"/>
                <w:sz w:val="17"/>
              </w:rPr>
              <w:t>Zustand (Client) + TanStack Query (Server)</w:t>
            </w:r>
          </w:p>
        </w:tc>
        <w:tc>
          <w:tcPr>
            <w:tcW w:type="dxa" w:w="2592"/>
            <w:shd w:fill="F9FAFB"/>
            <w:tcMar>
              <w:top w:w="80" w:type="dxa"/>
              <w:bottom w:w="80" w:type="dxa"/>
              <w:left w:w="100" w:type="dxa"/>
              <w:right w:w="100" w:type="dxa"/>
            </w:tcMar>
          </w:tcPr>
          <w:p>
            <w:pPr>
              <w:jc w:val="left"/>
            </w:pPr>
            <w:r>
              <w:rPr>
                <w:rFonts w:ascii="Arial" w:hAnsi="Arial"/>
                <w:color w:val="282828"/>
                <w:sz w:val="17"/>
              </w:rPr>
              <w:t>Server Components + URL State + Context/Zustand</w:t>
            </w:r>
          </w:p>
        </w:tc>
        <w:tc>
          <w:tcPr>
            <w:tcW w:type="dxa" w:w="2304"/>
            <w:shd w:fill="F9FAFB"/>
            <w:tcMar>
              <w:top w:w="80" w:type="dxa"/>
              <w:bottom w:w="80" w:type="dxa"/>
              <w:left w:w="100" w:type="dxa"/>
              <w:right w:w="100" w:type="dxa"/>
            </w:tcMar>
          </w:tcPr>
          <w:p>
            <w:pPr>
              <w:jc w:val="left"/>
            </w:pPr>
            <w:r>
              <w:rPr>
                <w:rFonts w:ascii="Arial" w:hAnsi="Arial"/>
                <w:color w:val="282828"/>
                <w:sz w:val="17"/>
              </w:rPr>
              <w:t>Route Loaders + Zustand (Client State)</w:t>
            </w:r>
          </w:p>
        </w:tc>
      </w:tr>
      <w:tr>
        <w:tc>
          <w:tcPr>
            <w:tcW w:type="dxa" w:w="2160"/>
            <w:shd w:fill="FFFFFF"/>
            <w:tcMar>
              <w:top w:w="80" w:type="dxa"/>
              <w:bottom w:w="80" w:type="dxa"/>
              <w:left w:w="100" w:type="dxa"/>
              <w:right w:w="100" w:type="dxa"/>
            </w:tcMar>
          </w:tcPr>
          <w:p>
            <w:pPr>
              <w:jc w:val="center"/>
            </w:pPr>
            <w:r>
              <w:rPr>
                <w:rFonts w:ascii="Arial" w:hAnsi="Arial"/>
                <w:b/>
                <w:color w:val="102C57"/>
                <w:sz w:val="17"/>
              </w:rPr>
              <w:t>Type Safety Pipeline</w:t>
            </w:r>
          </w:p>
        </w:tc>
        <w:tc>
          <w:tcPr>
            <w:tcW w:type="dxa" w:w="2592"/>
            <w:shd w:fill="FFFFFF"/>
            <w:tcMar>
              <w:top w:w="80" w:type="dxa"/>
              <w:bottom w:w="80" w:type="dxa"/>
              <w:left w:w="100" w:type="dxa"/>
              <w:right w:w="100" w:type="dxa"/>
            </w:tcMar>
          </w:tcPr>
          <w:p>
            <w:pPr>
              <w:jc w:val="left"/>
            </w:pPr>
            <w:r>
              <w:rPr>
                <w:rFonts w:ascii="Arial" w:hAnsi="Arial"/>
                <w:color w:val="282828"/>
                <w:sz w:val="17"/>
              </w:rPr>
              <w:t>End-to-end via OpenAPI -&gt; TypeScript Codegen</w:t>
            </w:r>
          </w:p>
        </w:tc>
        <w:tc>
          <w:tcPr>
            <w:tcW w:type="dxa" w:w="2592"/>
            <w:shd w:fill="FFFFFF"/>
            <w:tcMar>
              <w:top w:w="80" w:type="dxa"/>
              <w:bottom w:w="80" w:type="dxa"/>
              <w:left w:w="100" w:type="dxa"/>
              <w:right w:w="100" w:type="dxa"/>
            </w:tcMar>
          </w:tcPr>
          <w:p>
            <w:pPr>
              <w:jc w:val="left"/>
            </w:pPr>
            <w:r>
              <w:rPr>
                <w:rFonts w:ascii="Arial" w:hAnsi="Arial"/>
                <w:color w:val="282828"/>
                <w:sz w:val="17"/>
              </w:rPr>
              <w:t>End-to-end via OpenAPI -&gt; TypeScript / Server Actions</w:t>
            </w:r>
          </w:p>
        </w:tc>
        <w:tc>
          <w:tcPr>
            <w:tcW w:type="dxa" w:w="2304"/>
            <w:shd w:fill="FFFFFF"/>
            <w:tcMar>
              <w:top w:w="80" w:type="dxa"/>
              <w:bottom w:w="80" w:type="dxa"/>
              <w:left w:w="100" w:type="dxa"/>
              <w:right w:w="100" w:type="dxa"/>
            </w:tcMar>
          </w:tcPr>
          <w:p>
            <w:pPr>
              <w:jc w:val="left"/>
            </w:pPr>
            <w:r>
              <w:rPr>
                <w:rFonts w:ascii="Arial" w:hAnsi="Arial"/>
                <w:color w:val="282828"/>
                <w:sz w:val="17"/>
              </w:rPr>
              <w:t>End-to-end via TypeScript Route Contracts</w:t>
            </w:r>
          </w:p>
        </w:tc>
      </w:tr>
      <w:tr>
        <w:tc>
          <w:tcPr>
            <w:tcW w:type="dxa" w:w="2160"/>
            <w:shd w:fill="F9FAFB"/>
            <w:tcMar>
              <w:top w:w="80" w:type="dxa"/>
              <w:bottom w:w="80" w:type="dxa"/>
              <w:left w:w="100" w:type="dxa"/>
              <w:right w:w="100" w:type="dxa"/>
            </w:tcMar>
          </w:tcPr>
          <w:p>
            <w:pPr>
              <w:jc w:val="center"/>
            </w:pPr>
            <w:r>
              <w:rPr>
                <w:rFonts w:ascii="Arial" w:hAnsi="Arial"/>
                <w:b/>
                <w:color w:val="102C57"/>
                <w:sz w:val="17"/>
              </w:rPr>
              <w:t>WebSockets &amp; Real-Time</w:t>
            </w:r>
          </w:p>
        </w:tc>
        <w:tc>
          <w:tcPr>
            <w:tcW w:type="dxa" w:w="2592"/>
            <w:shd w:fill="F9FAFB"/>
            <w:tcMar>
              <w:top w:w="80" w:type="dxa"/>
              <w:bottom w:w="80" w:type="dxa"/>
              <w:left w:w="100" w:type="dxa"/>
              <w:right w:w="100" w:type="dxa"/>
            </w:tcMar>
          </w:tcPr>
          <w:p>
            <w:pPr>
              <w:jc w:val="left"/>
            </w:pPr>
            <w:r>
              <w:rPr>
                <w:rFonts w:ascii="Arial" w:hAnsi="Arial"/>
                <w:color w:val="282828"/>
                <w:sz w:val="17"/>
              </w:rPr>
              <w:t>Native support via standard FastAPI ASGI</w:t>
            </w:r>
          </w:p>
        </w:tc>
        <w:tc>
          <w:tcPr>
            <w:tcW w:type="dxa" w:w="2592"/>
            <w:shd w:fill="F9FAFB"/>
            <w:tcMar>
              <w:top w:w="80" w:type="dxa"/>
              <w:bottom w:w="80" w:type="dxa"/>
              <w:left w:w="100" w:type="dxa"/>
              <w:right w:w="100" w:type="dxa"/>
            </w:tcMar>
          </w:tcPr>
          <w:p>
            <w:pPr>
              <w:jc w:val="left"/>
            </w:pPr>
            <w:r>
              <w:rPr>
                <w:rFonts w:ascii="Arial" w:hAnsi="Arial"/>
                <w:color w:val="282828"/>
                <w:sz w:val="17"/>
              </w:rPr>
              <w:t>Requires custom standalone server or third-party</w:t>
            </w:r>
          </w:p>
        </w:tc>
        <w:tc>
          <w:tcPr>
            <w:tcW w:type="dxa" w:w="2304"/>
            <w:shd w:fill="F9FAFB"/>
            <w:tcMar>
              <w:top w:w="80" w:type="dxa"/>
              <w:bottom w:w="80" w:type="dxa"/>
              <w:left w:w="100" w:type="dxa"/>
              <w:right w:w="100" w:type="dxa"/>
            </w:tcMar>
          </w:tcPr>
          <w:p>
            <w:pPr>
              <w:jc w:val="left"/>
            </w:pPr>
            <w:r>
              <w:rPr>
                <w:rFonts w:ascii="Arial" w:hAnsi="Arial"/>
                <w:color w:val="282828"/>
                <w:sz w:val="17"/>
              </w:rPr>
              <w:t>Requires standalone server or third-party</w:t>
            </w:r>
          </w:p>
        </w:tc>
      </w:tr>
      <w:tr>
        <w:tc>
          <w:tcPr>
            <w:tcW w:type="dxa" w:w="2160"/>
            <w:shd w:fill="FFFFFF"/>
            <w:tcMar>
              <w:top w:w="80" w:type="dxa"/>
              <w:bottom w:w="80" w:type="dxa"/>
              <w:left w:w="100" w:type="dxa"/>
              <w:right w:w="100" w:type="dxa"/>
            </w:tcMar>
          </w:tcPr>
          <w:p>
            <w:pPr>
              <w:jc w:val="center"/>
            </w:pPr>
            <w:r>
              <w:rPr>
                <w:rFonts w:ascii="Arial" w:hAnsi="Arial"/>
                <w:b/>
                <w:color w:val="102C57"/>
                <w:sz w:val="17"/>
              </w:rPr>
              <w:t>Infrastructure Cost &amp; Lock-in</w:t>
            </w:r>
          </w:p>
        </w:tc>
        <w:tc>
          <w:tcPr>
            <w:tcW w:type="dxa" w:w="2592"/>
            <w:shd w:fill="FFFFFF"/>
            <w:tcMar>
              <w:top w:w="80" w:type="dxa"/>
              <w:bottom w:w="80" w:type="dxa"/>
              <w:left w:w="100" w:type="dxa"/>
              <w:right w:w="100" w:type="dxa"/>
            </w:tcMar>
          </w:tcPr>
          <w:p>
            <w:pPr>
              <w:jc w:val="left"/>
            </w:pPr>
            <w:r>
              <w:rPr>
                <w:rFonts w:ascii="Arial" w:hAnsi="Arial"/>
                <w:color w:val="282828"/>
                <w:sz w:val="17"/>
              </w:rPr>
              <w:t>Lowest (Host anywhere, S3/Cloudflare/Vercel)</w:t>
            </w:r>
          </w:p>
        </w:tc>
        <w:tc>
          <w:tcPr>
            <w:tcW w:type="dxa" w:w="2592"/>
            <w:shd w:fill="FFFFFF"/>
            <w:tcMar>
              <w:top w:w="80" w:type="dxa"/>
              <w:bottom w:w="80" w:type="dxa"/>
              <w:left w:w="100" w:type="dxa"/>
              <w:right w:w="100" w:type="dxa"/>
            </w:tcMar>
          </w:tcPr>
          <w:p>
            <w:pPr>
              <w:jc w:val="left"/>
            </w:pPr>
            <w:r>
              <w:rPr>
                <w:rFonts w:ascii="Arial" w:hAnsi="Arial"/>
                <w:color w:val="282828"/>
                <w:sz w:val="17"/>
              </w:rPr>
              <w:t>Higher (Optimized heavily for Vercel ecosystem)</w:t>
            </w:r>
          </w:p>
        </w:tc>
        <w:tc>
          <w:tcPr>
            <w:tcW w:type="dxa" w:w="2304"/>
            <w:shd w:fill="FFFFFF"/>
            <w:tcMar>
              <w:top w:w="80" w:type="dxa"/>
              <w:bottom w:w="80" w:type="dxa"/>
              <w:left w:w="100" w:type="dxa"/>
              <w:right w:w="100" w:type="dxa"/>
            </w:tcMar>
          </w:tcPr>
          <w:p>
            <w:pPr>
              <w:jc w:val="left"/>
            </w:pPr>
            <w:r>
              <w:rPr>
                <w:rFonts w:ascii="Arial" w:hAnsi="Arial"/>
                <w:color w:val="282828"/>
                <w:sz w:val="17"/>
              </w:rPr>
              <w:t>Moderate (Can compile to multiple adapters)</w:t>
            </w:r>
          </w:p>
        </w:tc>
      </w:tr>
      <w:tr>
        <w:tc>
          <w:tcPr>
            <w:tcW w:type="dxa" w:w="2160"/>
            <w:shd w:fill="F9FAFB"/>
            <w:tcMar>
              <w:top w:w="80" w:type="dxa"/>
              <w:bottom w:w="80" w:type="dxa"/>
              <w:left w:w="100" w:type="dxa"/>
              <w:right w:w="100" w:type="dxa"/>
            </w:tcMar>
          </w:tcPr>
          <w:p>
            <w:pPr>
              <w:jc w:val="center"/>
            </w:pPr>
            <w:r>
              <w:rPr>
                <w:rFonts w:ascii="Arial" w:hAnsi="Arial"/>
                <w:b/>
                <w:color w:val="102C57"/>
                <w:sz w:val="17"/>
              </w:rPr>
              <w:t>Complexity &amp; Mental Tax</w:t>
            </w:r>
          </w:p>
        </w:tc>
        <w:tc>
          <w:tcPr>
            <w:tcW w:type="dxa" w:w="2592"/>
            <w:shd w:fill="F9FAFB"/>
            <w:tcMar>
              <w:top w:w="80" w:type="dxa"/>
              <w:bottom w:w="80" w:type="dxa"/>
              <w:left w:w="100" w:type="dxa"/>
              <w:right w:w="100" w:type="dxa"/>
            </w:tcMar>
          </w:tcPr>
          <w:p>
            <w:pPr>
              <w:jc w:val="left"/>
            </w:pPr>
            <w:r>
              <w:rPr>
                <w:rFonts w:ascii="Arial" w:hAnsi="Arial"/>
                <w:color w:val="282828"/>
                <w:sz w:val="17"/>
              </w:rPr>
              <w:t>Low: Clear boundary between client UI &amp; backend API</w:t>
            </w:r>
          </w:p>
        </w:tc>
        <w:tc>
          <w:tcPr>
            <w:tcW w:type="dxa" w:w="2592"/>
            <w:shd w:fill="F9FAFB"/>
            <w:tcMar>
              <w:top w:w="80" w:type="dxa"/>
              <w:bottom w:w="80" w:type="dxa"/>
              <w:left w:w="100" w:type="dxa"/>
              <w:right w:w="100" w:type="dxa"/>
            </w:tcMar>
          </w:tcPr>
          <w:p>
            <w:pPr>
              <w:jc w:val="left"/>
            </w:pPr>
            <w:r>
              <w:rPr>
                <w:rFonts w:ascii="Arial" w:hAnsi="Arial"/>
                <w:color w:val="282828"/>
                <w:sz w:val="17"/>
              </w:rPr>
              <w:t>High: RSC hydration, caching tiers, action bindings</w:t>
            </w:r>
          </w:p>
        </w:tc>
        <w:tc>
          <w:tcPr>
            <w:tcW w:type="dxa" w:w="2304"/>
            <w:shd w:fill="F9FAFB"/>
            <w:tcMar>
              <w:top w:w="80" w:type="dxa"/>
              <w:bottom w:w="80" w:type="dxa"/>
              <w:left w:w="100" w:type="dxa"/>
              <w:right w:w="100" w:type="dxa"/>
            </w:tcMar>
          </w:tcPr>
          <w:p>
            <w:pPr>
              <w:jc w:val="left"/>
            </w:pPr>
            <w:r>
              <w:rPr>
                <w:rFonts w:ascii="Arial" w:hAnsi="Arial"/>
                <w:color w:val="282828"/>
                <w:sz w:val="17"/>
              </w:rPr>
              <w:t>Moderate: Server loader &amp; action boundaries</w:t>
            </w:r>
          </w:p>
        </w:tc>
      </w:tr>
    </w:tbl>
    <w:p>
      <w:pPr>
        <w:spacing w:after="200"/>
      </w:pPr>
    </w:p>
    <w:p>
      <w:pPr>
        <w:pStyle w:val="Heading1"/>
        <w:keepNext/>
        <w:spacing w:before="280" w:after="80"/>
      </w:pPr>
      <w:r>
        <w:rPr>
          <w:b/>
          <w:color w:val="102C57"/>
          <w:sz w:val="36"/>
        </w:rPr>
        <w:t>7. Production Failure Modes, Edge Cases &amp; Mitigation Strategies</w:t>
      </w:r>
    </w:p>
    <w:p>
      <w:pPr>
        <w:pStyle w:val="Heading2"/>
        <w:keepNext/>
        <w:spacing w:before="280" w:after="80"/>
      </w:pPr>
      <w:r>
        <w:rPr>
          <w:b/>
          <w:color w:val="294B6B"/>
          <w:sz w:val="28"/>
        </w:rPr>
        <w:t>Edge Case 1: Search Engine Crawlers &amp; Dynamic Social Sharing (OG Tags)</w:t>
      </w:r>
    </w:p>
    <w:p>
      <w:r>
        <w:t>Failure Mode: A pure React SPA serves an empty `&lt;div id='root'&gt;&lt;/div&gt;` in the raw HTML. While Googlebot executes JS reasonably well, social media bots (Twitter/X, LinkedIn, Discord, Facebook, WhatsApp, Telegram, iMessage) do not run client-side JS and will fail to render rich link preview cards.</w:t>
        <w:br/>
        <w:t>Mitigation: Use Vercel Edge Middleware or Cloudflare Workers to inspect the user-agent. If the request originates from a crawler/bot, dynamically rewrite the request to a serverless edge endpoint that injects dynamic `&lt;meta property='og:...'&gt;` tags based on the target resource, while regular users receive the standard static SPA bundle.</w:t>
      </w:r>
    </w:p>
    <w:p>
      <w:pPr>
        <w:pStyle w:val="Heading2"/>
        <w:keepNext/>
        <w:spacing w:before="280" w:after="80"/>
      </w:pPr>
      <w:r>
        <w:rPr>
          <w:b/>
          <w:color w:val="294B6B"/>
          <w:sz w:val="28"/>
        </w:rPr>
        <w:t>Edge Case 2: Waterfall Latency on Initial Page Load</w:t>
      </w:r>
    </w:p>
    <w:p>
      <w:r>
        <w:t>Failure Mode: In naive SPAs, the browser downloads the HTML -&gt; downloads the JS bundle -&gt; mounts the React app -&gt; triggers the `useEffect`/Query call to FastAPI. This sequential waterfall adds 300ms-1200ms before initial data appears.</w:t>
        <w:br/>
        <w:t>Mitigation: Implement dynamic route-level code splitting using `React.lazy()` or `@tanstack/react-router`. In the HTML entrypoint, inject preconnect/dns-prefetch tags for the API origin. Utilize TanStack Router loader functions to trigger API requests in parallel as soon as the URL route matches.</w:t>
      </w:r>
    </w:p>
    <w:p>
      <w:pPr>
        <w:pStyle w:val="Heading2"/>
        <w:keepNext/>
        <w:spacing w:before="280" w:after="80"/>
      </w:pPr>
      <w:r>
        <w:rPr>
          <w:b/>
          <w:color w:val="294B6B"/>
          <w:sz w:val="28"/>
        </w:rPr>
        <w:t>Edge Case 3: JWT Token Refresh &amp; Cross-Site Scripting (XSS)</w:t>
      </w:r>
    </w:p>
    <w:p>
      <w:r>
        <w:t>Failure Mode: Storing JWT authentication tokens directly in Zustand or LocalStorage exposes the session to XSS compromise.</w:t>
        <w:br/>
        <w:t>Mitigation: Implement `httpOnly`, `Secure`, `SameSite=Lax/Strict` cookies managed directly by FastAPI for the refresh token. Store short-lived access tokens (15-min lifespan) in memory inside the Zustand store. Use Axios/Fetch response interceptors to automatically trigger the refresh flow upon receiving 401 Unauthorized responses.</w:t>
      </w:r>
    </w:p>
    <w:p>
      <w:pPr>
        <w:pStyle w:val="Heading2"/>
        <w:keepNext/>
        <w:spacing w:before="280" w:after="80"/>
      </w:pPr>
      <w:r>
        <w:rPr>
          <w:b/>
          <w:color w:val="294B6B"/>
          <w:sz w:val="28"/>
        </w:rPr>
        <w:t>Edge Case 4: Serverless FastAPI Cold Start Latency Spikes</w:t>
      </w:r>
    </w:p>
    <w:p>
      <w:r>
        <w:t>Failure Mode: Infrequently visited endpoints or cold-booted serverless instances cause 1-2 second response pauses, degrading perceived user experience.</w:t>
        <w:br/>
        <w:t>Mitigation: Keep the FastAPI bundle extremely minimal (remove unused dependencies, use `uv` or lean `requirements.txt`). Alternatively, deploy the backend to a warm, autoscaling container runtime (AWS ECS Fargate, Cloud Run with min-instances=1, Fly.io) while keeping Vite on Vercel CDN.</w:t>
      </w:r>
    </w:p>
    <w:p>
      <w:pPr>
        <w:pStyle w:val="Heading1"/>
        <w:keepNext/>
        <w:spacing w:before="280" w:after="80"/>
      </w:pPr>
      <w:r>
        <w:rPr>
          <w:b/>
          <w:color w:val="102C57"/>
          <w:sz w:val="36"/>
        </w:rPr>
        <w:t>8. Reference Production Architecture Blueprint</w:t>
      </w:r>
    </w:p>
    <w:p>
      <w:r>
        <w:t>Below is the definitive reference configuration for a high-performance Vite + React + Zustand + FastAPI project.</w:t>
      </w:r>
    </w:p>
    <w:p>
      <w:pPr>
        <w:pStyle w:val="Heading2"/>
        <w:keepNext/>
        <w:spacing w:before="280" w:after="80"/>
      </w:pPr>
      <w:r>
        <w:rPr>
          <w:b/>
          <w:color w:val="294B6B"/>
          <w:sz w:val="28"/>
        </w:rPr>
        <w:t>8.1 Optimized Vite Configuration (vite.config.ts)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line="276" w:lineRule="auto"/>
            </w:pPr>
            <w:r>
              <w:rPr>
                <w:rFonts w:ascii="Consolas" w:hAnsi="Consolas"/>
                <w:color w:val="212529"/>
                <w:sz w:val="18"/>
              </w:rPr>
              <w:t>import { defineConfig } from 'vite';</w:t>
              <w:br/>
              <w:t>import react from '@vitejs/plugin-react';</w:t>
              <w:br/>
              <w:t>import path from 'path';</w:t>
              <w:br/>
              <w:br/>
              <w:t>export default defineConfig({</w:t>
              <w:br/>
              <w:t xml:space="preserve">  plugins: [react()],</w:t>
              <w:br/>
              <w:t xml:space="preserve">  resolve: {</w:t>
              <w:br/>
              <w:t xml:space="preserve">    alias: {</w:t>
              <w:br/>
              <w:t xml:space="preserve">      '@': path.resolve(__dirname, './src'),</w:t>
              <w:br/>
              <w:t xml:space="preserve">    },</w:t>
              <w:br/>
              <w:t xml:space="preserve">  },</w:t>
              <w:br/>
              <w:t xml:space="preserve">  server: {</w:t>
              <w:br/>
              <w:t xml:space="preserve">    port: 3000,</w:t>
              <w:br/>
              <w:t xml:space="preserve">    proxy: {</w:t>
              <w:br/>
              <w:t xml:space="preserve">      // Proxy local backend API calls during development</w:t>
              <w:br/>
              <w:t xml:space="preserve">      '/api': {</w:t>
              <w:br/>
              <w:t xml:space="preserve">        target: process.env.VITE_API_URL || 'http://127.0.0.1:8000',</w:t>
              <w:br/>
              <w:t xml:space="preserve">        changeOrigin: true,</w:t>
              <w:br/>
              <w:t xml:space="preserve">        secure: false,</w:t>
              <w:br/>
              <w:t xml:space="preserve">      },</w:t>
              <w:br/>
              <w:t xml:space="preserve">    },</w:t>
              <w:br/>
              <w:t xml:space="preserve">  },</w:t>
              <w:br/>
              <w:t xml:space="preserve">  build: {</w:t>
              <w:br/>
              <w:t xml:space="preserve">    target: 'esnext',</w:t>
              <w:br/>
              <w:t xml:space="preserve">    sourcemap: false,</w:t>
              <w:br/>
              <w:t xml:space="preserve">    rollupOptions: {</w:t>
              <w:br/>
              <w:t xml:space="preserve">      output: {</w:t>
              <w:br/>
              <w:t xml:space="preserve">        manualChunks: {</w:t>
              <w:br/>
              <w:t xml:space="preserve">          vendor: ['react', 'react-dom'],</w:t>
              <w:br/>
              <w:t xml:space="preserve">          query: ['@tanstack/react-query'],</w:t>
              <w:br/>
              <w:t xml:space="preserve">          zustand: ['zustand'],</w:t>
              <w:br/>
              <w:t xml:space="preserve">        },</w:t>
              <w:br/>
              <w:t xml:space="preserve">      },</w:t>
              <w:br/>
              <w:t xml:space="preserve">    },</w:t>
              <w:br/>
              <w:t xml:space="preserve">  },</w:t>
              <w:br/>
              <w:t>});</w:t>
            </w:r>
          </w:p>
        </w:tc>
      </w:tr>
    </w:tbl>
    <w:p>
      <w:pPr>
        <w:spacing w:after="80"/>
      </w:pPr>
    </w:p>
    <w:p>
      <w:pPr>
        <w:pStyle w:val="Heading2"/>
        <w:keepNext/>
        <w:spacing w:before="280" w:after="80"/>
      </w:pPr>
      <w:r>
        <w:rPr>
          <w:b/>
          <w:color w:val="294B6B"/>
          <w:sz w:val="28"/>
        </w:rPr>
        <w:t>8.2 Client State Store via Zustand (src/stores/authStore.ts)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line="276" w:lineRule="auto"/>
            </w:pPr>
            <w:r>
              <w:rPr>
                <w:rFonts w:ascii="Consolas" w:hAnsi="Consolas"/>
                <w:color w:val="212529"/>
                <w:sz w:val="18"/>
              </w:rPr>
              <w:t>import { create } from 'zustand';</w:t>
              <w:br/>
              <w:t>import { devtools, persist } from 'zustand/middleware';</w:t>
              <w:br/>
              <w:br/>
              <w:t>interface User {</w:t>
              <w:br/>
              <w:t xml:space="preserve">  id: string;</w:t>
              <w:br/>
              <w:t xml:space="preserve">  email: string;</w:t>
              <w:br/>
              <w:t xml:space="preserve">  role: string;</w:t>
              <w:br/>
              <w:t>}</w:t>
              <w:br/>
              <w:br/>
              <w:t>interface AuthState {</w:t>
              <w:br/>
              <w:t xml:space="preserve">  accessToken: string | null;</w:t>
              <w:br/>
              <w:t xml:space="preserve">  user: User | null;</w:t>
              <w:br/>
              <w:t xml:space="preserve">  isAuthenticated: boolean;</w:t>
              <w:br/>
              <w:t xml:space="preserve">  setAuth: (token: string, user: User) =&gt; void;</w:t>
              <w:br/>
              <w:t xml:space="preserve">  clearAuth: () =&gt; void;</w:t>
              <w:br/>
              <w:t>}</w:t>
              <w:br/>
              <w:br/>
              <w:t>export const useAuthStore = create&lt;AuthState&gt;()(</w:t>
              <w:br/>
              <w:t xml:space="preserve">  devtools(</w:t>
              <w:br/>
              <w:t xml:space="preserve">    persist(</w:t>
              <w:br/>
              <w:t xml:space="preserve">      (set) =&gt; ({</w:t>
              <w:br/>
              <w:t xml:space="preserve">        accessToken: null,</w:t>
              <w:br/>
              <w:t xml:space="preserve">        user: null,</w:t>
              <w:br/>
              <w:t xml:space="preserve">        isAuthenticated: false,</w:t>
              <w:br/>
              <w:t xml:space="preserve">        setAuth: (accessToken, user) =&gt;</w:t>
              <w:br/>
              <w:t xml:space="preserve">          set({ accessToken, user, isAuthenticated: true }),</w:t>
              <w:br/>
              <w:t xml:space="preserve">        clearAuth: () =&gt;</w:t>
              <w:br/>
              <w:t xml:space="preserve">          set({ accessToken: null, user: null, isAuthenticated: false }),</w:t>
              <w:br/>
              <w:t xml:space="preserve">      }),</w:t>
              <w:br/>
              <w:t xml:space="preserve">      {</w:t>
              <w:br/>
              <w:t xml:space="preserve">        name: 'auth-session',</w:t>
              <w:br/>
              <w:t xml:space="preserve">        partialize: (state) =&gt; ({ user: state.user, isAuthenticated: state.isAuthenticated }), // Access token in memory only!</w:t>
              <w:br/>
              <w:t xml:space="preserve">      }</w:t>
              <w:br/>
              <w:t xml:space="preserve">    )</w:t>
              <w:br/>
              <w:t xml:space="preserve">  )</w:t>
              <w:br/>
              <w:t>);</w:t>
              <w:br/>
              <w:br/>
              <w:t>// Non-React direct getter for Axios/Fetch interceptors</w:t>
              <w:br/>
              <w:t>export const getAccessToken = () =&gt; useAuthStore.getState().accessToken;</w:t>
            </w:r>
          </w:p>
        </w:tc>
      </w:tr>
    </w:tbl>
    <w:p>
      <w:pPr>
        <w:spacing w:after="80"/>
      </w:pPr>
    </w:p>
    <w:p>
      <w:pPr>
        <w:pStyle w:val="Heading2"/>
        <w:keepNext/>
        <w:spacing w:before="280" w:after="80"/>
      </w:pPr>
      <w:r>
        <w:rPr>
          <w:b/>
          <w:color w:val="294B6B"/>
          <w:sz w:val="28"/>
        </w:rPr>
        <w:t>8.3 Server State Query Hook via TanStack Query (src/hooks/useUserProfile.ts)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line="276" w:lineRule="auto"/>
            </w:pPr>
            <w:r>
              <w:rPr>
                <w:rFonts w:ascii="Consolas" w:hAnsi="Consolas"/>
                <w:color w:val="212529"/>
                <w:sz w:val="18"/>
              </w:rPr>
              <w:t>import { useQuery, useMutation, useQueryClient } from '@tanstack/react-query';</w:t>
              <w:br/>
              <w:t>import { apiClient } from '@/lib/apiClient';</w:t>
              <w:br/>
              <w:br/>
              <w:t>interface UserProfile {</w:t>
              <w:br/>
              <w:t xml:space="preserve">  id: string;</w:t>
              <w:br/>
              <w:t xml:space="preserve">  email: string;</w:t>
              <w:br/>
              <w:t xml:space="preserve">  organization: string;</w:t>
              <w:br/>
              <w:t>}</w:t>
              <w:br/>
              <w:br/>
              <w:t>export const useUserProfile = (userId: string) =&gt; {</w:t>
              <w:br/>
              <w:t xml:space="preserve">  return useQuery&lt;UserProfile, Error&gt;({</w:t>
              <w:br/>
              <w:t xml:space="preserve">    queryKey: ['user-profile', userId],</w:t>
              <w:br/>
              <w:t xml:space="preserve">    queryFn: async () =&gt; {</w:t>
              <w:br/>
              <w:t xml:space="preserve">      const response = await apiClient.get&lt;UserProfile&gt;(`/api/v1/users/${userId}`);</w:t>
              <w:br/>
              <w:t xml:space="preserve">      return response.data;</w:t>
              <w:br/>
              <w:t xml:space="preserve">    },</w:t>
              <w:br/>
              <w:t xml:space="preserve">    staleTime: 5 * 60 * 1000, // 5 minutes fresh</w:t>
              <w:br/>
              <w:t xml:space="preserve">    gcTime: 15 * 60 * 1000,   // 15 minutes in memory</w:t>
              <w:br/>
              <w:t xml:space="preserve">  });</w:t>
              <w:br/>
              <w:t>};</w:t>
            </w:r>
          </w:p>
        </w:tc>
      </w:tr>
    </w:tbl>
    <w:p>
      <w:pPr>
        <w:spacing w:after="80"/>
      </w:pPr>
    </w:p>
    <w:p>
      <w:pPr>
        <w:pStyle w:val="Heading2"/>
        <w:keepNext/>
        <w:spacing w:before="280" w:after="80"/>
      </w:pPr>
      <w:r>
        <w:rPr>
          <w:b/>
          <w:color w:val="294B6B"/>
          <w:sz w:val="28"/>
        </w:rPr>
        <w:t>8.4 Vercel Monorepo Configuration (vercel.json)</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line="276" w:lineRule="auto"/>
            </w:pPr>
            <w:r>
              <w:rPr>
                <w:rFonts w:ascii="Consolas" w:hAnsi="Consolas"/>
                <w:color w:val="212529"/>
                <w:sz w:val="18"/>
              </w:rPr>
              <w:t>{</w:t>
              <w:br/>
              <w:t xml:space="preserve">  "version": 2,</w:t>
              <w:br/>
              <w:t xml:space="preserve">  "rewrites": [</w:t>
              <w:br/>
              <w:t xml:space="preserve">    {</w:t>
              <w:br/>
              <w:t xml:space="preserve">      "source": "/api/(.*)",</w:t>
              <w:br/>
              <w:t xml:space="preserve">      "destination": "/api/index.py"</w:t>
              <w:br/>
              <w:t xml:space="preserve">    },</w:t>
              <w:br/>
              <w:t xml:space="preserve">    {</w:t>
              <w:br/>
              <w:t xml:space="preserve">      "source": "/(.*)",</w:t>
              <w:br/>
              <w:t xml:space="preserve">      "destination": "/index.html"</w:t>
              <w:br/>
              <w:t xml:space="preserve">    }</w:t>
              <w:br/>
              <w:t xml:space="preserve">  ]</w:t>
              <w:br/>
              <w:t>}</w:t>
            </w:r>
          </w:p>
        </w:tc>
      </w:tr>
    </w:tbl>
    <w:p>
      <w:pPr>
        <w:spacing w:after="80"/>
      </w:pPr>
    </w:p>
    <w:p>
      <w:pPr>
        <w:pStyle w:val="Heading1"/>
        <w:keepNext/>
        <w:spacing w:before="280" w:after="80"/>
      </w:pPr>
      <w:r>
        <w:rPr>
          <w:b/>
          <w:color w:val="102C57"/>
          <w:sz w:val="36"/>
        </w:rPr>
        <w:t>9. Definitive Decision Framework &amp; Strategic Conclusion</w:t>
      </w:r>
    </w:p>
    <w:p>
      <w:r>
        <w:t>To make the final architectural determination, apply the following decision framework:</w:t>
        <w:br/>
        <w:t>• Choose Vite + React + Zustand + FastAPI IF: Your product is an authenticated SaaS platform, dashboard, B2B portal, generative AI workspace, or real-time application where SEO is non-critical, development velocity is paramount, and you want zero Node.js server maintenance overhead.</w:t>
        <w:br/>
        <w:t>• Choose Next.js (SSR / RSC) IF: Your product is an e-commerce storefront, public media portal, content marketing hub, or high-volume marketplace where search engine indexability, dynamic OpenGraph previews, and raw sub-second First Contentful Paint (FCP) on slow mobile networks directly drive revenue.</w:t>
        <w:br/>
        <w:t>• Choose TanStack Start / Remix IF: You desire the benefits of SSR and dynamic meta tags, but want to retain the clean, modern, Vite-based development workflow without the proprietary vendor lock-in and RSC complexity of Next.js.</w:t>
      </w:r>
    </w:p>
    <w:p>
      <w:r>
        <w:t>Final Conclusion: We STRONGLY AGREE with your architectural vision. Vite + React + Zustand paired with FastAPI delivers maximum developer velocity, an ultra-clean separation of concerns, zero Node.js middle-tier latency, and minimal operational maintenance.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