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rial" w:hAnsi="Arial"/>
          <w:b/>
          <w:color w:val="003366"/>
          <w:sz w:val="48"/>
        </w:rPr>
        <w:t>Multi-Tenant Healthcare Dynamic Identity &amp; Access Management (IAM)</w:t>
      </w:r>
    </w:p>
    <w:p>
      <w:pPr>
        <w:spacing w:before="0" w:after="480"/>
        <w:jc w:val="center"/>
      </w:pPr>
      <w:r>
        <w:rPr>
          <w:rFonts w:ascii="Arial" w:hAnsi="Arial"/>
          <w:i/>
          <w:color w:val="646464"/>
          <w:sz w:val="26"/>
        </w:rPr>
        <w:t>Part 1: Threat Intelligence, Cryptographic Core, &amp; PostgreSQL Multi-Tenant RLS Architecture</w:t>
      </w:r>
    </w:p>
    <w:p>
      <w:pPr>
        <w:pStyle w:val="Heading1"/>
        <w:spacing w:before="280" w:after="120"/>
      </w:pPr>
      <w:r>
        <w:rPr>
          <w:rFonts w:ascii="Arial" w:hAnsi="Arial"/>
          <w:b/>
          <w:color w:val="003366"/>
          <w:sz w:val="32"/>
        </w:rPr>
        <w:t>Executive Summary</w:t>
      </w:r>
    </w:p>
    <w:p>
      <w:pPr>
        <w:spacing w:before="0" w:after="120" w:line="276" w:lineRule="auto"/>
      </w:pPr>
      <w:r>
        <w:rPr>
          <w:rFonts w:ascii="Arial" w:hAnsi="Arial"/>
          <w:i w:val="0"/>
          <w:color w:val="282828"/>
          <w:sz w:val="21"/>
        </w:rPr>
        <w:t>The presence of hardcoded credentials ('Admin123!' with static 'Role: Admin' privileges) represents a catastrophic security vulnerability (CWE-798) and an insurmountable barrier to enterprise scalability. In a modern healthcare SaaS ecosystem spanning dozens of autonomous hospital organizations, an identity tier cannot function on monolithic or static access primitives. A single exposed static credential compromises the entirety of the system's electronic Protected Health Information (ePHI), triggering statutory penalties under HIPAA § 164.312, HITECH, and GDPR Article 32, while exposing all participating hospital networks to Initial Access Brokers (IABs) and ransomware syndicates.</w:t>
      </w:r>
    </w:p>
    <w:p>
      <w:pPr>
        <w:spacing w:before="0" w:after="120" w:line="276" w:lineRule="auto"/>
      </w:pPr>
      <w:r>
        <w:rPr>
          <w:rFonts w:ascii="Arial" w:hAnsi="Arial"/>
          <w:i w:val="0"/>
          <w:color w:val="282828"/>
          <w:sz w:val="21"/>
        </w:rPr>
        <w:t>This technical document provides an exhaustive, multi-part engineering specification to transition the application from fragile, hardcoded authentication to an enterprise-grade, multi-tenant Dynamic Identity and Access Management (IAM) framework. Part 1 covers the Dark Web threat landscape, comparative architectural evaluations, the complete PostgreSQL-native dynamic RBAC/ABAC schema with Row-Level Security (RLS), cryptographic password hashing (Argon2id), Zero Trust token lifecycle management, and a zero-downtime migration runbook.</w:t>
      </w:r>
    </w:p>
    <w:p>
      <w:pPr>
        <w:pStyle w:val="Heading1"/>
        <w:spacing w:before="280" w:after="120"/>
      </w:pPr>
      <w:r>
        <w:rPr>
          <w:rFonts w:ascii="Arial" w:hAnsi="Arial"/>
          <w:b/>
          <w:color w:val="003366"/>
          <w:sz w:val="32"/>
        </w:rPr>
        <w:t>1. Threat Modeling &amp; Dark Web Vulnerability Intelligence</w:t>
      </w:r>
    </w:p>
    <w:p>
      <w:pPr>
        <w:spacing w:before="0" w:after="120" w:line="276" w:lineRule="auto"/>
      </w:pPr>
      <w:r>
        <w:rPr>
          <w:rFonts w:ascii="Arial" w:hAnsi="Arial"/>
          <w:b/>
          <w:color w:val="141414"/>
          <w:sz w:val="21"/>
        </w:rPr>
        <w:t xml:space="preserve">Vulnerability Profile: </w:t>
      </w:r>
      <w:r>
        <w:rPr>
          <w:rFonts w:ascii="Arial" w:hAnsi="Arial"/>
          <w:i w:val="0"/>
          <w:color w:val="282828"/>
          <w:sz w:val="21"/>
        </w:rPr>
        <w:t>1.1 CWE Categorization &amp; Mechanism of Compromise</w:t>
      </w:r>
    </w:p>
    <w:p>
      <w:pPr>
        <w:spacing w:before="0" w:after="120" w:line="276" w:lineRule="auto"/>
      </w:pPr>
      <w:r>
        <w:rPr>
          <w:rFonts w:ascii="Arial" w:hAnsi="Arial"/>
          <w:i w:val="0"/>
          <w:color w:val="282828"/>
          <w:sz w:val="21"/>
        </w:rPr>
        <w:t>Hardcoded administrative credentials violate foundational cybersecurity principles and are cataloged under several major Common Weakness Enumerations:</w:t>
      </w:r>
    </w:p>
    <w:p>
      <w:pPr>
        <w:spacing w:before="0" w:after="120" w:line="276" w:lineRule="auto"/>
      </w:pPr>
      <w:r>
        <w:rPr>
          <w:rFonts w:ascii="Arial" w:hAnsi="Arial"/>
          <w:i w:val="0"/>
          <w:color w:val="282828"/>
          <w:sz w:val="21"/>
        </w:rPr>
        <w:t>• CWE-798: Use of Hard-coded Credentials — Storing authentication secrets directly in the source code or client-side assets.</w:t>
        <w:br/>
        <w:t>• CWE-259: Use of Hard-coded Password — Relying on static strings for authentication verification.</w:t>
        <w:br/>
        <w:t>• CWE-321: Use of Hard-coded Cryptographic Key — Using unrotated, hardcoded secrets for signature verification or token generation.</w:t>
        <w:br/>
        <w:t>• CWE-1188: Insecure Default Initialization of Resource — Provisioning services with known, predictable administrative states.</w:t>
      </w:r>
    </w:p>
    <w:tbl>
      <w:tblPr>
        <w:tblW w:type="auto" w:w="0"/>
        <w:jc w:val="center"/>
        <w:tblLook w:firstColumn="1" w:firstRow="1" w:lastColumn="0" w:lastRow="0" w:noHBand="0" w:noVBand="1" w:val="04A0"/>
      </w:tblPr>
      <w:tblGrid>
        <w:gridCol w:w="9360"/>
      </w:tblGrid>
      <w:tr>
        <w:tc>
          <w:tcPr>
            <w:tcW w:type="dxa" w:w="9360"/>
            <w:shd w:fill="FFF3CD"/>
          </w:tcPr>
          <w:p>
            <w:pPr>
              <w:spacing w:before="120" w:after="120" w:line="276" w:lineRule="auto"/>
            </w:pPr>
            <w:r>
              <w:rPr>
                <w:rFonts w:ascii="Arial" w:hAnsi="Arial"/>
                <w:b/>
                <w:color w:val="B42800"/>
                <w:sz w:val="21"/>
              </w:rPr>
              <w:t>[EXPLOITATION RISK: INSTANT RECONNAISSANCE TO COMPROMISE]</w:t>
              <w:br/>
            </w:r>
            <w:r>
              <w:rPr>
                <w:rFonts w:ascii="Arial" w:hAnsi="Arial"/>
                <w:color w:val="323232"/>
                <w:sz w:val="20"/>
              </w:rPr>
              <w:t>A credential like 'Admin123!' is present in the top 0.01% of all global password dictionaries (SecLists, RockYou2024, breach compilations). Automated scrapers and Dark Web scanners continuously probe public IP ranges and cloud load balancers using wordlists containing these exact patterns. Exposing this endpoint allows unauthorized actors to bypass all network defenses in under 3 seconds.</w:t>
            </w:r>
          </w:p>
        </w:tc>
      </w:tr>
    </w:tbl>
    <w:p>
      <w:pPr>
        <w:spacing w:after="80"/>
      </w:pPr>
    </w:p>
    <w:p>
      <w:pPr>
        <w:spacing w:before="0" w:after="120" w:line="276" w:lineRule="auto"/>
      </w:pPr>
      <w:r>
        <w:rPr>
          <w:rFonts w:ascii="Arial" w:hAnsi="Arial"/>
          <w:b/>
          <w:color w:val="141414"/>
          <w:sz w:val="21"/>
        </w:rPr>
        <w:t xml:space="preserve">Threat Actor Operations: </w:t>
      </w:r>
      <w:r>
        <w:rPr>
          <w:rFonts w:ascii="Arial" w:hAnsi="Arial"/>
          <w:i w:val="0"/>
          <w:color w:val="282828"/>
          <w:sz w:val="21"/>
        </w:rPr>
        <w:t>1.2 Dark Web Economics &amp; Initial Access Broker (IAB) Telemetry</w:t>
      </w:r>
    </w:p>
    <w:p>
      <w:pPr>
        <w:spacing w:before="0" w:after="120" w:line="276" w:lineRule="auto"/>
      </w:pPr>
      <w:r>
        <w:rPr>
          <w:rFonts w:ascii="Arial" w:hAnsi="Arial"/>
          <w:i w:val="0"/>
          <w:color w:val="282828"/>
          <w:sz w:val="21"/>
        </w:rPr>
        <w:t>In underground cybercrime forums (e.g., BreachForums, Russian Market, Exploit.in, XSS), healthcare administrative access is heavily monetized. Initial Access Brokers (IABs) specialize in scanning web applications for default credentials and hardcoded backdoors. Once discovered, they package this access into structured listings:</w:t>
      </w:r>
    </w:p>
    <w:p>
      <w:pPr>
        <w:spacing w:before="0" w:after="120" w:line="276" w:lineRule="auto"/>
      </w:pPr>
      <w:r>
        <w:rPr>
          <w:rFonts w:ascii="Arial" w:hAnsi="Arial"/>
          <w:i w:val="0"/>
          <w:color w:val="282828"/>
          <w:sz w:val="21"/>
        </w:rPr>
        <w:t>1. Infostealer Integration: Modern malware families (LummaC2, RedLine, Vidar, Stealc) harvest local storage, session cookies, and hardcoded strings from client-side JavaScript or source repositories. These logs are indexed on Dark Web automated vending carts (AVCs).</w:t>
        <w:br/>
        <w:t>2. Credential Stuffing &amp; Scanning Bots: Attackers deploy headless browser farms (using tools like OpenBullet, SilverBullet, or custom Go/Python async engines) that fire thousands of common username/password permutations against `/api/v1/auth/login` endpoints.</w:t>
        <w:br/>
        <w:t>3. Ransomware Supply Chains: IABs auction administrative access to Ransomware-as-a-Service (RaaS) affiliates (e.g., LockBit 5.0, BlackCat/ALPHV, Akira). Administrative access to a healthcare platform provides the initial foothold required to conduct data exfiltration, lateral movement into hospital Active Directory domains, and subsequent double-extortion ransomware deployment.</w:t>
      </w:r>
    </w:p>
    <w:p>
      <w:pPr>
        <w:spacing w:before="0" w:after="120" w:line="276" w:lineRule="auto"/>
      </w:pPr>
      <w:r>
        <w:rPr>
          <w:rFonts w:ascii="Arial" w:hAnsi="Arial"/>
          <w:b/>
          <w:color w:val="141414"/>
          <w:sz w:val="21"/>
        </w:rPr>
        <w:t xml:space="preserve">Impact on Multi-Hospital Scaling: </w:t>
      </w:r>
      <w:r>
        <w:rPr>
          <w:rFonts w:ascii="Arial" w:hAnsi="Arial"/>
          <w:i w:val="0"/>
          <w:color w:val="282828"/>
          <w:sz w:val="21"/>
        </w:rPr>
        <w:t>1.3 Multi-Tenant Blast Radius &amp; Regulatory Liabilities</w:t>
      </w:r>
    </w:p>
    <w:p>
      <w:pPr>
        <w:spacing w:before="0" w:after="120" w:line="276" w:lineRule="auto"/>
      </w:pPr>
      <w:r>
        <w:rPr>
          <w:rFonts w:ascii="Arial" w:hAnsi="Arial"/>
          <w:i w:val="0"/>
          <w:color w:val="282828"/>
          <w:sz w:val="21"/>
        </w:rPr>
        <w:t>In a multi-hospital deployment, a single static administrative credential eliminates tenant boundary isolation. If Hospital A and Hospital B share the same hardcoded administrative logic, an attacker compromising Hospital A's portal instantly acquires administrative read/write access across all hospitals in the system. The blast radius is 100% of tenants and 100% of ePHI records.</w:t>
      </w:r>
    </w:p>
    <w:p>
      <w:pPr>
        <w:spacing w:before="0" w:after="120" w:line="276" w:lineRule="auto"/>
      </w:pPr>
      <w:r>
        <w:rPr>
          <w:rFonts w:ascii="Arial" w:hAnsi="Arial"/>
          <w:i w:val="0"/>
          <w:color w:val="282828"/>
          <w:sz w:val="21"/>
        </w:rPr>
        <w:t>Under the HIPAA Security Rule (45 CFR § 164.312), the regulatory fallout is severe:</w:t>
      </w:r>
    </w:p>
    <w:p>
      <w:pPr>
        <w:spacing w:before="0" w:after="120" w:line="276" w:lineRule="auto"/>
      </w:pPr>
      <w:r>
        <w:rPr>
          <w:rFonts w:ascii="Arial" w:hAnsi="Arial"/>
          <w:i w:val="0"/>
          <w:color w:val="282828"/>
          <w:sz w:val="21"/>
        </w:rPr>
        <w:t>• § 164.312(a)(1) Access Control: Covered entities must implement technical procedures that allow access only to authorized persons. A hardcoded password lacks unique user identification, violating § 164.312(a)(2)(i).</w:t>
        <w:br/>
        <w:t>• § 164.312(d) Person or Entity Authentication: Requires proof of identity before access. Hardcoded credentials make it impossible to corroborate the claimed identity of the actor.</w:t>
        <w:br/>
        <w:t>• § 164.312(b) Audit Controls: Requires hardware/software to record and examine system activity. Shared administrative credentials obliterate non-repudiation; audit logs cannot differentiate between a legitimate hospital administrator and an external threat actor.</w:t>
        <w:br/>
        <w:t>• Financial Penalties: HHS Office for Civil Rights (OCR) classifies systemic failure to implement unique access controls as 'Willful Neglect' (Tier 4), carrying maximum statutory penalties exceeding $2,000,000 annually per violation category, alongside mandatory multi-year Corrective Action Plans (CAPs) and class-action exposure.</w:t>
      </w:r>
    </w:p>
    <w:p>
      <w:pPr>
        <w:pStyle w:val="Heading1"/>
        <w:spacing w:before="280" w:after="120"/>
      </w:pPr>
      <w:r>
        <w:rPr>
          <w:rFonts w:ascii="Arial" w:hAnsi="Arial"/>
          <w:b/>
          <w:color w:val="003366"/>
          <w:sz w:val="32"/>
        </w:rPr>
        <w:t>2. Multi-Tenant Architectural Paradigms Comparison</w:t>
      </w:r>
    </w:p>
    <w:p>
      <w:pPr>
        <w:spacing w:before="0" w:after="120" w:line="276" w:lineRule="auto"/>
      </w:pPr>
      <w:r>
        <w:rPr>
          <w:rFonts w:ascii="Arial" w:hAnsi="Arial"/>
          <w:i w:val="0"/>
          <w:color w:val="282828"/>
          <w:sz w:val="21"/>
        </w:rPr>
        <w:t>To eliminate static credentials and scale across dozens of hospitals securely, the system must adopt a production-ready dynamic IAM architecture. The three primary modern paradigms are evaluated below:</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rFonts w:ascii="Arial" w:hAnsi="Arial"/>
                <w:b/>
                <w:color w:val="FFFFFF"/>
                <w:sz w:val="19"/>
              </w:rPr>
              <w:t>Architectural Dimension</w:t>
            </w:r>
          </w:p>
        </w:tc>
        <w:tc>
          <w:tcPr>
            <w:tcW w:type="dxa" w:w="2340"/>
            <w:shd w:fill="003366"/>
          </w:tcPr>
          <w:p>
            <w:r>
              <w:rPr>
                <w:rFonts w:ascii="Arial" w:hAnsi="Arial"/>
                <w:b/>
                <w:color w:val="FFFFFF"/>
                <w:sz w:val="19"/>
              </w:rPr>
              <w:t>Paradigm A: PostgreSQL Native RLS + RBAC</w:t>
            </w:r>
          </w:p>
        </w:tc>
        <w:tc>
          <w:tcPr>
            <w:tcW w:type="dxa" w:w="2340"/>
            <w:shd w:fill="003366"/>
          </w:tcPr>
          <w:p>
            <w:r>
              <w:rPr>
                <w:rFonts w:ascii="Arial" w:hAnsi="Arial"/>
                <w:b/>
                <w:color w:val="FFFFFF"/>
                <w:sz w:val="19"/>
              </w:rPr>
              <w:t>Paradigm B: Google Cloud Identity / Firebase</w:t>
            </w:r>
          </w:p>
        </w:tc>
        <w:tc>
          <w:tcPr>
            <w:tcW w:type="dxa" w:w="2340"/>
            <w:shd w:fill="003366"/>
          </w:tcPr>
          <w:p>
            <w:r>
              <w:rPr>
                <w:rFonts w:ascii="Arial" w:hAnsi="Arial"/>
                <w:b/>
                <w:color w:val="FFFFFF"/>
                <w:sz w:val="19"/>
              </w:rPr>
              <w:t>Paradigm C: Federated Enterprise SSO / Google Workspace</w:t>
            </w:r>
          </w:p>
        </w:tc>
      </w:tr>
      <w:tr>
        <w:tc>
          <w:tcPr>
            <w:tcW w:type="dxa" w:w="2340"/>
            <w:shd w:fill="F8F9FA"/>
          </w:tcPr>
          <w:p>
            <w:r>
              <w:rPr>
                <w:rFonts w:ascii="Arial" w:hAnsi="Arial"/>
                <w:color w:val="282828"/>
                <w:sz w:val="18"/>
              </w:rPr>
              <w:t>Tenant Isolation Mechanism</w:t>
            </w:r>
          </w:p>
        </w:tc>
        <w:tc>
          <w:tcPr>
            <w:tcW w:type="dxa" w:w="2340"/>
            <w:shd w:fill="F8F9FA"/>
          </w:tcPr>
          <w:p>
            <w:r>
              <w:rPr>
                <w:rFonts w:ascii="Arial" w:hAnsi="Arial"/>
                <w:color w:val="282828"/>
                <w:sz w:val="18"/>
              </w:rPr>
              <w:t>PostgreSQL Row-Level Security (RLS) policies scoped via connection session variables.</w:t>
            </w:r>
          </w:p>
        </w:tc>
        <w:tc>
          <w:tcPr>
            <w:tcW w:type="dxa" w:w="2340"/>
            <w:shd w:fill="F8F9FA"/>
          </w:tcPr>
          <w:p>
            <w:r>
              <w:rPr>
                <w:rFonts w:ascii="Arial" w:hAnsi="Arial"/>
                <w:color w:val="282828"/>
                <w:sz w:val="18"/>
              </w:rPr>
              <w:t>Tenant-scoped Auth Instances + Custom Claims + Firestore Rules / Cloud SQL IAM.</w:t>
            </w:r>
          </w:p>
        </w:tc>
        <w:tc>
          <w:tcPr>
            <w:tcW w:type="dxa" w:w="2340"/>
            <w:shd w:fill="F8F9FA"/>
          </w:tcPr>
          <w:p>
            <w:r>
              <w:rPr>
                <w:rFonts w:ascii="Arial" w:hAnsi="Arial"/>
                <w:color w:val="282828"/>
                <w:sz w:val="18"/>
              </w:rPr>
              <w:t>SAML 2.0 / OIDC Identity Federation + SCIM tenant provisioning.</w:t>
            </w:r>
          </w:p>
        </w:tc>
      </w:tr>
      <w:tr>
        <w:tc>
          <w:tcPr>
            <w:tcW w:type="dxa" w:w="2340"/>
            <w:shd w:fill="FFFFFF"/>
          </w:tcPr>
          <w:p>
            <w:r>
              <w:rPr>
                <w:rFonts w:ascii="Arial" w:hAnsi="Arial"/>
                <w:color w:val="282828"/>
                <w:sz w:val="18"/>
              </w:rPr>
              <w:t>HIPAA &amp; BAA Compliance</w:t>
            </w:r>
          </w:p>
        </w:tc>
        <w:tc>
          <w:tcPr>
            <w:tcW w:type="dxa" w:w="2340"/>
            <w:shd w:fill="FFFFFF"/>
          </w:tcPr>
          <w:p>
            <w:r>
              <w:rPr>
                <w:rFonts w:ascii="Arial" w:hAnsi="Arial"/>
                <w:color w:val="282828"/>
                <w:sz w:val="18"/>
              </w:rPr>
              <w:t>Full control over database-level encryption, audit logs, and on-premises/cloud VPC data sovereignty.</w:t>
            </w:r>
          </w:p>
        </w:tc>
        <w:tc>
          <w:tcPr>
            <w:tcW w:type="dxa" w:w="2340"/>
            <w:shd w:fill="FFFFFF"/>
          </w:tcPr>
          <w:p>
            <w:r>
              <w:rPr>
                <w:rFonts w:ascii="Arial" w:hAnsi="Arial"/>
                <w:color w:val="282828"/>
                <w:sz w:val="18"/>
              </w:rPr>
              <w:t>Covered under Google Cloud BAA; requires careful configuration of Firebase tenant tenancy.</w:t>
            </w:r>
          </w:p>
        </w:tc>
        <w:tc>
          <w:tcPr>
            <w:tcW w:type="dxa" w:w="2340"/>
            <w:shd w:fill="FFFFFF"/>
          </w:tcPr>
          <w:p>
            <w:r>
              <w:rPr>
                <w:rFonts w:ascii="Arial" w:hAnsi="Arial"/>
                <w:color w:val="282828"/>
                <w:sz w:val="18"/>
              </w:rPr>
              <w:t>Enterprise Google Workspace / Cloud Identity BAA covering federated auth assertions.</w:t>
            </w:r>
          </w:p>
        </w:tc>
      </w:tr>
      <w:tr>
        <w:tc>
          <w:tcPr>
            <w:tcW w:type="dxa" w:w="2340"/>
            <w:shd w:fill="F8F9FA"/>
          </w:tcPr>
          <w:p>
            <w:r>
              <w:rPr>
                <w:rFonts w:ascii="Arial" w:hAnsi="Arial"/>
                <w:color w:val="282828"/>
                <w:sz w:val="18"/>
              </w:rPr>
              <w:t>Hospital IdP Integration (SSO)</w:t>
            </w:r>
          </w:p>
        </w:tc>
        <w:tc>
          <w:tcPr>
            <w:tcW w:type="dxa" w:w="2340"/>
            <w:shd w:fill="F8F9FA"/>
          </w:tcPr>
          <w:p>
            <w:r>
              <w:rPr>
                <w:rFonts w:ascii="Arial" w:hAnsi="Arial"/>
                <w:color w:val="282828"/>
                <w:sz w:val="18"/>
              </w:rPr>
              <w:t>Requires self-hosted OIDC/SAML gateway (e.g., Keycloak, Ory, or custom passport engine).</w:t>
            </w:r>
          </w:p>
        </w:tc>
        <w:tc>
          <w:tcPr>
            <w:tcW w:type="dxa" w:w="2340"/>
            <w:shd w:fill="F8F9FA"/>
          </w:tcPr>
          <w:p>
            <w:r>
              <w:rPr>
                <w:rFonts w:ascii="Arial" w:hAnsi="Arial"/>
                <w:color w:val="282828"/>
                <w:sz w:val="18"/>
              </w:rPr>
              <w:t>Native support for SAML/OIDC multi-tenant identity providers via Google Identity Platform.</w:t>
            </w:r>
          </w:p>
        </w:tc>
        <w:tc>
          <w:tcPr>
            <w:tcW w:type="dxa" w:w="2340"/>
            <w:shd w:fill="F8F9FA"/>
          </w:tcPr>
          <w:p>
            <w:r>
              <w:rPr>
                <w:rFonts w:ascii="Arial" w:hAnsi="Arial"/>
                <w:color w:val="282828"/>
                <w:sz w:val="18"/>
              </w:rPr>
              <w:t>Direct SAML 2.0 integration with Hospital Active Directory, Entra ID, Epic/Cerner IAM.</w:t>
            </w:r>
          </w:p>
        </w:tc>
      </w:tr>
      <w:tr>
        <w:tc>
          <w:tcPr>
            <w:tcW w:type="dxa" w:w="2340"/>
            <w:shd w:fill="FFFFFF"/>
          </w:tcPr>
          <w:p>
            <w:r>
              <w:rPr>
                <w:rFonts w:ascii="Arial" w:hAnsi="Arial"/>
                <w:color w:val="282828"/>
                <w:sz w:val="18"/>
              </w:rPr>
              <w:t>Performance &amp; Latency</w:t>
            </w:r>
          </w:p>
        </w:tc>
        <w:tc>
          <w:tcPr>
            <w:tcW w:type="dxa" w:w="2340"/>
            <w:shd w:fill="FFFFFF"/>
          </w:tcPr>
          <w:p>
            <w:r>
              <w:rPr>
                <w:rFonts w:ascii="Arial" w:hAnsi="Arial"/>
                <w:color w:val="282828"/>
                <w:sz w:val="18"/>
              </w:rPr>
              <w:t>Sub-millisecond query filtering enforced inside Postgres engine. Zero external auth calls per query.</w:t>
            </w:r>
          </w:p>
        </w:tc>
        <w:tc>
          <w:tcPr>
            <w:tcW w:type="dxa" w:w="2340"/>
            <w:shd w:fill="FFFFFF"/>
          </w:tcPr>
          <w:p>
            <w:r>
              <w:rPr>
                <w:rFonts w:ascii="Arial" w:hAnsi="Arial"/>
                <w:color w:val="282828"/>
                <w:sz w:val="18"/>
              </w:rPr>
              <w:t>External token verification roundtrips; JWT caching required for high throughput.</w:t>
            </w:r>
          </w:p>
        </w:tc>
        <w:tc>
          <w:tcPr>
            <w:tcW w:type="dxa" w:w="2340"/>
            <w:shd w:fill="FFFFFF"/>
          </w:tcPr>
          <w:p>
            <w:r>
              <w:rPr>
                <w:rFonts w:ascii="Arial" w:hAnsi="Arial"/>
                <w:color w:val="282828"/>
                <w:sz w:val="18"/>
              </w:rPr>
              <w:t>Token-based stateless verification via public key (JWKS) with minimal local CPU overhead.</w:t>
            </w:r>
          </w:p>
        </w:tc>
      </w:tr>
      <w:tr>
        <w:tc>
          <w:tcPr>
            <w:tcW w:type="dxa" w:w="2340"/>
            <w:shd w:fill="F8F9FA"/>
          </w:tcPr>
          <w:p>
            <w:r>
              <w:rPr>
                <w:rFonts w:ascii="Arial" w:hAnsi="Arial"/>
                <w:color w:val="282828"/>
                <w:sz w:val="18"/>
              </w:rPr>
              <w:t>Operational Overhead</w:t>
            </w:r>
          </w:p>
        </w:tc>
        <w:tc>
          <w:tcPr>
            <w:tcW w:type="dxa" w:w="2340"/>
            <w:shd w:fill="F8F9FA"/>
          </w:tcPr>
          <w:p>
            <w:r>
              <w:rPr>
                <w:rFonts w:ascii="Arial" w:hAnsi="Arial"/>
                <w:color w:val="282828"/>
                <w:sz w:val="18"/>
              </w:rPr>
              <w:t>Medium: Requires robust database migration tooling, RLS testing, and connection pooling tuning.</w:t>
            </w:r>
          </w:p>
        </w:tc>
        <w:tc>
          <w:tcPr>
            <w:tcW w:type="dxa" w:w="2340"/>
            <w:shd w:fill="F8F9FA"/>
          </w:tcPr>
          <w:p>
            <w:r>
              <w:rPr>
                <w:rFonts w:ascii="Arial" w:hAnsi="Arial"/>
                <w:color w:val="282828"/>
                <w:sz w:val="18"/>
              </w:rPr>
              <w:t>Low to Medium: Fully managed cloud service; scaling handled by Google infrastructure.</w:t>
            </w:r>
          </w:p>
        </w:tc>
        <w:tc>
          <w:tcPr>
            <w:tcW w:type="dxa" w:w="2340"/>
            <w:shd w:fill="F8F9FA"/>
          </w:tcPr>
          <w:p>
            <w:r>
              <w:rPr>
                <w:rFonts w:ascii="Arial" w:hAnsi="Arial"/>
                <w:color w:val="282828"/>
                <w:sz w:val="18"/>
              </w:rPr>
              <w:t>Low for user management; Medium for onboarding federated hospital IT directories.</w:t>
            </w:r>
          </w:p>
        </w:tc>
      </w:tr>
    </w:tbl>
    <w:p>
      <w:pPr>
        <w:spacing w:after="160"/>
      </w:pPr>
    </w:p>
    <w:p>
      <w:pPr>
        <w:pStyle w:val="Heading1"/>
        <w:spacing w:before="280" w:after="120"/>
      </w:pPr>
      <w:r>
        <w:rPr>
          <w:rFonts w:ascii="Arial" w:hAnsi="Arial"/>
          <w:b/>
          <w:color w:val="003366"/>
          <w:sz w:val="32"/>
        </w:rPr>
        <w:t>3. Technical Blueprint — Paradigm 1: PostgreSQL Dynamic IAM with RLS</w:t>
      </w:r>
    </w:p>
    <w:p>
      <w:pPr>
        <w:spacing w:before="0" w:after="120" w:line="276" w:lineRule="auto"/>
      </w:pPr>
      <w:r>
        <w:rPr>
          <w:rFonts w:ascii="Arial" w:hAnsi="Arial"/>
          <w:i w:val="0"/>
          <w:color w:val="282828"/>
          <w:sz w:val="21"/>
        </w:rPr>
        <w:t>For healthcare organizations requiring complete control over their relational schemas, deterministic query performance, and strict cryptographic audit boundaries, a PostgreSQL-Native dynamic IAM engine with Row-Level Security (RLS) is the premier reference architecture.</w:t>
      </w:r>
    </w:p>
    <w:p>
      <w:pPr>
        <w:spacing w:before="0" w:after="120" w:line="276" w:lineRule="auto"/>
      </w:pPr>
      <w:r>
        <w:rPr>
          <w:rFonts w:ascii="Arial" w:hAnsi="Arial"/>
          <w:b/>
          <w:color w:val="141414"/>
          <w:sz w:val="21"/>
        </w:rPr>
        <w:t xml:space="preserve">Database Schema: </w:t>
      </w:r>
      <w:r>
        <w:rPr>
          <w:rFonts w:ascii="Arial" w:hAnsi="Arial"/>
          <w:i w:val="0"/>
          <w:color w:val="282828"/>
          <w:sz w:val="21"/>
        </w:rPr>
        <w:t>3.1 Complete Relational Data Definition Language (DDL)</w:t>
      </w:r>
    </w:p>
    <w:tbl>
      <w:tblPr>
        <w:tblW w:type="auto" w:w="0"/>
        <w:jc w:val="center"/>
        <w:tblLook w:firstColumn="1" w:firstRow="1" w:lastColumn="0" w:lastRow="0" w:noHBand="0" w:noVBand="1" w:val="04A0"/>
      </w:tblPr>
      <w:tblGrid>
        <w:gridCol w:w="9360"/>
      </w:tblGrid>
      <w:tr>
        <w:tc>
          <w:tcPr>
            <w:tcW w:type="dxa" w:w="9360"/>
            <w:shd w:fill="F4F6F9"/>
          </w:tcPr>
          <w:p>
            <w:pPr>
              <w:spacing w:before="80" w:after="80"/>
            </w:pPr>
            <w:r>
              <w:rPr>
                <w:rFonts w:ascii="Consolas" w:hAnsi="Consolas"/>
                <w:color w:val="1E1E1E"/>
                <w:sz w:val="17"/>
              </w:rPr>
              <w:t>-- Enable UUID and Cryptographic Extensions</w:t>
              <w:br/>
              <w:t>CREATE EXTENSION IF NOT EXISTS "uuid-ossp";</w:t>
              <w:br/>
              <w:t>CREATE EXTENSION IF NOT EXISTS "pgcrypto";</w:t>
              <w:br/>
              <w:br/>
              <w:t>-- 1. Tenants (Hospital Organizations)</w:t>
              <w:br/>
              <w:t>CREATE TABLE tenants (</w:t>
              <w:br/>
              <w:t xml:space="preserve">    tenant_id UUID PRIMARY KEY DEFAULT uuid_generate_v4(),</w:t>
              <w:br/>
              <w:t xml:space="preserve">    slug VARCHAR(64) UNIQUE NOT NULL,</w:t>
              <w:br/>
              <w:t xml:space="preserve">    organization_name VARCHAR(255) NOT NULL,</w:t>
              <w:br/>
              <w:t xml:space="preserve">    npi_number VARCHAR(10) UNIQUE, -- National Provider Identifier</w:t>
              <w:br/>
              <w:t xml:space="preserve">    status VARCHAR(32) NOT NULL DEFAULT 'ACTIVE' CHECK (status IN ('ACTIVE', 'SUSPENDED', 'DECOMMISSIONED')),</w:t>
              <w:br/>
              <w:t xml:space="preserve">    baa_signed_at TIMESTAMP WITH TIME ZONE,</w:t>
              <w:br/>
              <w:t xml:space="preserve">    created_at TIMESTAMP WITH TIME ZONE DEFAULT CURRENT_TIMESTAMP NOT NULL,</w:t>
              <w:br/>
              <w:t xml:space="preserve">    updated_at TIMESTAMP WITH TIME ZONE DEFAULT CURRENT_TIMESTAMP NOT NULL</w:t>
              <w:br/>
              <w:t>);</w:t>
              <w:br/>
              <w:br/>
              <w:t>-- 2. Core Users (Global Identity Entity)</w:t>
              <w:br/>
              <w:t>CREATE TABLE users (</w:t>
              <w:br/>
              <w:t xml:space="preserve">    user_id UUID PRIMARY KEY DEFAULT uuid_generate_v4(),</w:t>
              <w:br/>
              <w:t xml:space="preserve">    email VARCHAR(255) UNIQUE NOT NULL,</w:t>
              <w:br/>
              <w:t xml:space="preserve">    password_hash VARCHAR(255), -- Nullable if user is strictly Federated SSO</w:t>
              <w:br/>
              <w:t xml:space="preserve">    full_name VARCHAR(255) NOT NULL,</w:t>
              <w:br/>
              <w:t xml:space="preserve">    is_global_superadmin BOOLEAN DEFAULT FALSE,</w:t>
              <w:br/>
              <w:t xml:space="preserve">    is_active BOOLEAN DEFAULT TRUE NOT NULL,</w:t>
              <w:br/>
              <w:t xml:space="preserve">    is_mfa_enabled BOOLEAN DEFAULT FALSE NOT NULL,</w:t>
              <w:br/>
              <w:t xml:space="preserve">    failed_login_attempts INT DEFAULT 0 NOT NULL,</w:t>
              <w:br/>
              <w:t xml:space="preserve">    lockout_until TIMESTAMP WITH TIME ZONE,</w:t>
              <w:br/>
              <w:t xml:space="preserve">    created_at TIMESTAMP WITH TIME ZONE DEFAULT CURRENT_TIMESTAMP NOT NULL,</w:t>
              <w:br/>
              <w:t xml:space="preserve">    updated_at TIMESTAMP WITH TIME ZONE DEFAULT CURRENT_TIMESTAMP NOT NULL</w:t>
              <w:br/>
              <w:t>);</w:t>
              <w:br/>
              <w:br/>
              <w:t>-- 3. Roles and Permissions (Granular RBAC/ABAC)</w:t>
              <w:br/>
              <w:t>CREATE TABLE permissions (</w:t>
              <w:br/>
              <w:t xml:space="preserve">    permission_id UUID PRIMARY KEY DEFAULT uuid_generate_v4(),</w:t>
              <w:br/>
              <w:t xml:space="preserve">    permission_key VARCHAR(128) UNIQUE NOT NULL, -- e.g., 'patient:read', 'rx:prescribe'</w:t>
              <w:br/>
              <w:t xml:space="preserve">    description TEXT NOT NULL</w:t>
              <w:br/>
              <w:t>);</w:t>
              <w:br/>
              <w:br/>
              <w:t>CREATE TABLE roles (</w:t>
              <w:br/>
              <w:t xml:space="preserve">    role_id UUID PRIMARY KEY DEFAULT uuid_generate_v4(),</w:t>
              <w:br/>
              <w:t xml:space="preserve">    tenant_id UUID REFERENCES tenants(tenant_id) ON DELETE CASCADE, -- NULL for system-wide roles</w:t>
              <w:br/>
              <w:t xml:space="preserve">    role_name VARCHAR(64) NOT NULL, -- e.g., 'Hospital Admin', 'Attending Physician', 'Nurse'</w:t>
              <w:br/>
              <w:t xml:space="preserve">    is_system_role BOOLEAN DEFAULT FALSE,</w:t>
              <w:br/>
              <w:t xml:space="preserve">    created_at TIMESTAMP WITH TIME ZONE DEFAULT CURRENT_TIMESTAMP NOT NULL,</w:t>
              <w:br/>
              <w:t xml:space="preserve">    UNIQUE (tenant_id, role_name)</w:t>
              <w:br/>
              <w:t>);</w:t>
              <w:br/>
              <w:br/>
              <w:t>CREATE TABLE role_permissions (</w:t>
              <w:br/>
              <w:t xml:space="preserve">    role_id UUID REFERENCES roles(role_id) ON DELETE CASCADE,</w:t>
              <w:br/>
              <w:t xml:space="preserve">    permission_id UUID REFERENCES permissions(permission_id) ON DELETE CASCADE,</w:t>
              <w:br/>
              <w:t xml:space="preserve">    PRIMARY KEY (role_id, permission_id)</w:t>
              <w:br/>
              <w:t>);</w:t>
              <w:br/>
              <w:br/>
              <w:t>-- 4. User Tenant Roles (Multi-Hospital Membership Mapping)</w:t>
              <w:br/>
              <w:t>CREATE TABLE user_tenants (</w:t>
              <w:br/>
              <w:t xml:space="preserve">    user_tenant_id UUID PRIMARY KEY DEFAULT uuid_generate_v4(),</w:t>
              <w:br/>
              <w:t xml:space="preserve">    user_id UUID NOT NULL REFERENCES users(user_id) ON DELETE CASCADE,</w:t>
              <w:br/>
              <w:t xml:space="preserve">    tenant_id UUID NOT NULL REFERENCES tenants(tenant_id) ON DELETE CASCADE,</w:t>
              <w:br/>
              <w:t xml:space="preserve">    role_id UUID NOT NULL REFERENCES roles(role_id) ON DELETE RESTRICT,</w:t>
              <w:br/>
              <w:t xml:space="preserve">    status VARCHAR(32) DEFAULT 'ACTIVE' CHECK (status IN ('ACTIVE', 'INVITED', 'REVOKED')),</w:t>
              <w:br/>
              <w:t xml:space="preserve">    joined_at TIMESTAMP WITH TIME ZONE DEFAULT CURRENT_TIMESTAMP NOT NULL,</w:t>
              <w:br/>
              <w:t xml:space="preserve">    UNIQUE (user_id, tenant_id)</w:t>
              <w:br/>
              <w:t>);</w:t>
              <w:br/>
              <w:br/>
              <w:t>-- 5. MFA Credentials (FIDO2/WebAuthn and TOTP)</w:t>
              <w:br/>
              <w:t>CREATE TABLE mfa_factors (</w:t>
              <w:br/>
              <w:t xml:space="preserve">    mfa_id UUID PRIMARY KEY DEFAULT uuid_generate_v4(),</w:t>
              <w:br/>
              <w:t xml:space="preserve">    user_id UUID NOT NULL REFERENCES users(user_id) ON DELETE CASCADE,</w:t>
              <w:br/>
              <w:t xml:space="preserve">    factor_type VARCHAR(32) NOT NULL CHECK (factor_type IN ('TOTP', 'WEBAUTHN_FIDO2')),</w:t>
              <w:br/>
              <w:t xml:space="preserve">    secret_payload TEXT NOT NULL, -- Encrypted at rest via KMS envelope encryption</w:t>
              <w:br/>
              <w:t xml:space="preserve">    credential_id TEXT, -- For WebAuthn</w:t>
              <w:br/>
              <w:t xml:space="preserve">    public_key TEXT,    -- For WebAuthn</w:t>
              <w:br/>
              <w:t xml:space="preserve">    counter BIGINT DEFAULT 0,</w:t>
              <w:br/>
              <w:t xml:space="preserve">    is_verified BOOLEAN DEFAULT FALSE,</w:t>
              <w:br/>
              <w:t xml:space="preserve">    created_at TIMESTAMP WITH TIME ZONE DEFAULT CURRENT_TIMESTAMP NOT NULL</w:t>
              <w:br/>
              <w:t>);</w:t>
              <w:br/>
              <w:br/>
              <w:t>-- 6. Immutable Security &amp; ePHI Audit Trail (HIPAA § 164.312(b))</w:t>
              <w:br/>
              <w:t>CREATE TABLE audit_logs (</w:t>
              <w:br/>
              <w:t xml:space="preserve">    log_id UUID PRIMARY KEY DEFAULT uuid_generate_v4(),</w:t>
              <w:br/>
              <w:t xml:space="preserve">    tenant_id UUID REFERENCES tenants(tenant_id),</w:t>
              <w:br/>
              <w:t xml:space="preserve">    user_id UUID REFERENCES users(user_id),</w:t>
              <w:br/>
              <w:t xml:space="preserve">    action VARCHAR(128) NOT NULL, -- 'AUTH_SUCCESS', 'AUTH_FAILURE', 'EPHI_ACCESS', 'ROLE_CHANGE'</w:t>
              <w:br/>
              <w:t xml:space="preserve">    resource_type VARCHAR(64) NOT NULL,</w:t>
              <w:br/>
              <w:t xml:space="preserve">    resource_id VARCHAR(128),</w:t>
              <w:br/>
              <w:t xml:space="preserve">    ip_address INET NOT NULL,</w:t>
              <w:br/>
              <w:t xml:space="preserve">    user_agent TEXT NOT NULL,</w:t>
              <w:br/>
              <w:t xml:space="preserve">    metadata JSONB DEFAULT '{}'::jsonb,</w:t>
              <w:br/>
              <w:t xml:space="preserve">    timestamp TIMESTAMP WITH TIME ZONE DEFAULT CURRENT_TIMESTAMP NOT NULL</w:t>
              <w:br/>
              <w:t>);</w:t>
              <w:br/>
              <w:br/>
              <w:t>-- 7. Protected Electronic Health Information (ePHI) Patient Record Table</w:t>
              <w:br/>
              <w:t>CREATE TABLE patients (</w:t>
              <w:br/>
              <w:t xml:space="preserve">    patient_id UUID PRIMARY KEY DEFAULT uuid_generate_v4(),</w:t>
              <w:br/>
              <w:t xml:space="preserve">    tenant_id UUID NOT NULL REFERENCES tenants(tenant_id) ON DELETE CASCADE,</w:t>
              <w:br/>
              <w:t xml:space="preserve">    mrn VARCHAR(64) NOT NULL, -- Medical Record Number (Tenant-scoped)</w:t>
              <w:br/>
              <w:t xml:space="preserve">    first_name VARCHAR(128) NOT NULL,</w:t>
              <w:br/>
              <w:t xml:space="preserve">    last_name VARCHAR(128) NOT NULL,</w:t>
              <w:br/>
              <w:t xml:space="preserve">    dob DATE NOT NULL,</w:t>
              <w:br/>
              <w:t xml:space="preserve">    ssn_encrypted BYTEA,</w:t>
              <w:br/>
              <w:t xml:space="preserve">    medical_data JSONB NOT NULL,</w:t>
              <w:br/>
              <w:t xml:space="preserve">    created_at TIMESTAMP WITH TIME ZONE DEFAULT CURRENT_TIMESTAMP NOT NULL,</w:t>
              <w:br/>
              <w:t xml:space="preserve">    updated_at TIMESTAMP WITH TIME ZONE DEFAULT CURRENT_TIMESTAMP NOT NULL,</w:t>
              <w:br/>
              <w:t xml:space="preserve">    UNIQUE (tenant_id, mrn)</w:t>
              <w:br/>
              <w:t>);</w:t>
            </w:r>
          </w:p>
        </w:tc>
      </w:tr>
    </w:tbl>
    <w:p>
      <w:pPr>
        <w:spacing w:after="80"/>
      </w:pPr>
    </w:p>
    <w:p>
      <w:pPr>
        <w:spacing w:before="0" w:after="120" w:line="276" w:lineRule="auto"/>
      </w:pPr>
      <w:r>
        <w:rPr>
          <w:rFonts w:ascii="Arial" w:hAnsi="Arial"/>
          <w:b/>
          <w:color w:val="141414"/>
          <w:sz w:val="21"/>
        </w:rPr>
        <w:t xml:space="preserve">Enforcing Zero Trust Data Isolation: </w:t>
      </w:r>
      <w:r>
        <w:rPr>
          <w:rFonts w:ascii="Arial" w:hAnsi="Arial"/>
          <w:i w:val="0"/>
          <w:color w:val="282828"/>
          <w:sz w:val="21"/>
        </w:rPr>
        <w:t>3.2 PostgreSQL Row-Level Security (RLS) Policy Definition</w:t>
      </w:r>
    </w:p>
    <w:p>
      <w:pPr>
        <w:spacing w:before="0" w:after="120" w:line="276" w:lineRule="auto"/>
      </w:pPr>
      <w:r>
        <w:rPr>
          <w:rFonts w:ascii="Arial" w:hAnsi="Arial"/>
          <w:i w:val="0"/>
          <w:color w:val="282828"/>
          <w:sz w:val="21"/>
        </w:rPr>
        <w:t>Row-Level Security guarantees that regardless of how an application query is formulated (even if a developer accidentally omits a 'WHERE tenant_id = ...' filter), PostgreSQL's kernel will dynamically restrict execution to rows matching the current tenant context.</w:t>
      </w:r>
    </w:p>
    <w:tbl>
      <w:tblPr>
        <w:tblW w:type="auto" w:w="0"/>
        <w:jc w:val="center"/>
        <w:tblLook w:firstColumn="1" w:firstRow="1" w:lastColumn="0" w:lastRow="0" w:noHBand="0" w:noVBand="1" w:val="04A0"/>
      </w:tblPr>
      <w:tblGrid>
        <w:gridCol w:w="9360"/>
      </w:tblGrid>
      <w:tr>
        <w:tc>
          <w:tcPr>
            <w:tcW w:type="dxa" w:w="9360"/>
            <w:shd w:fill="F4F6F9"/>
          </w:tcPr>
          <w:p>
            <w:pPr>
              <w:spacing w:before="80" w:after="80"/>
            </w:pPr>
            <w:r>
              <w:rPr>
                <w:rFonts w:ascii="Consolas" w:hAnsi="Consolas"/>
                <w:color w:val="1E1E1E"/>
                <w:sz w:val="17"/>
              </w:rPr>
              <w:t>-- Enable RLS on Tenant-Scoped Tables</w:t>
              <w:br/>
              <w:t>ALTER TABLE patients ENABLE ROW LEVEL SECURITY;</w:t>
              <w:br/>
              <w:t>ALTER TABLE patients FORCE ROW LEVEL SECURITY; -- Enforce even for table owners</w:t>
              <w:br/>
              <w:br/>
              <w:t>-- Define RLS Isolation Policy using Session Variables</w:t>
              <w:br/>
              <w:t>CREATE POLICY tenant_isolation_patient_policy ON patients</w:t>
              <w:br/>
              <w:t xml:space="preserve">    FOR ALL</w:t>
              <w:br/>
              <w:t xml:space="preserve">    USING (</w:t>
              <w:br/>
              <w:t xml:space="preserve">        -- Check if tenant_id matches the session context injected by the connection pool</w:t>
              <w:br/>
              <w:t xml:space="preserve">        tenant_id = NULLIF(current_setting('app.current_tenant_id', true), '')::UUID</w:t>
              <w:br/>
              <w:t xml:space="preserve">        OR</w:t>
              <w:br/>
              <w:t xml:space="preserve">        -- Allow global superadmin override ONLY if explicitly set</w:t>
              <w:br/>
              <w:t xml:space="preserve">        current_setting('app.is_superadmin', true) = 'true'</w:t>
              <w:br/>
              <w:t xml:space="preserve">    )</w:t>
              <w:br/>
              <w:t xml:space="preserve">    WITH CHECK (</w:t>
              <w:br/>
              <w:t xml:space="preserve">        tenant_id = NULLIF(current_setting('app.current_tenant_id', true), '')::UUID</w:t>
              <w:br/>
              <w:t xml:space="preserve">    );</w:t>
              <w:br/>
              <w:br/>
              <w:t>-- Helper Stored Procedure for Setting Request Context (Called per Transaction)</w:t>
              <w:br/>
              <w:t>CREATE OR REPLACE FUNCTION set_tenant_context(</w:t>
              <w:br/>
              <w:t xml:space="preserve">    p_tenant_id UUID,</w:t>
              <w:br/>
              <w:t xml:space="preserve">    p_user_id UUID,</w:t>
              <w:br/>
              <w:t xml:space="preserve">    p_is_superadmin BOOLEAN DEFAULT FALSE</w:t>
              <w:br/>
              <w:t>) RETURNS void AS $$</w:t>
              <w:br/>
              <w:t>BEGIN</w:t>
              <w:br/>
              <w:t xml:space="preserve">    PERFORM set_config('app.current_tenant_id', p_tenant_id::text, true);</w:t>
              <w:br/>
              <w:t xml:space="preserve">    PERFORM set_config('app.current_user_id', p_user_id::text, true);</w:t>
              <w:br/>
              <w:t xml:space="preserve">    PERFORM set_config('app.is_superadmin', p_is_superadmin::text, true);</w:t>
              <w:br/>
              <w:t>END;</w:t>
              <w:br/>
              <w:t>$$ LANGUAGE plpgsql SECURITY DEFINER;</w:t>
            </w:r>
          </w:p>
        </w:tc>
      </w:tr>
    </w:tbl>
    <w:p>
      <w:pPr>
        <w:spacing w:after="80"/>
      </w:pPr>
    </w:p>
    <w:p>
      <w:pPr>
        <w:spacing w:before="0" w:after="120" w:line="276" w:lineRule="auto"/>
      </w:pPr>
      <w:r>
        <w:rPr>
          <w:rFonts w:ascii="Arial" w:hAnsi="Arial"/>
          <w:b/>
          <w:color w:val="141414"/>
          <w:sz w:val="21"/>
        </w:rPr>
        <w:t xml:space="preserve">NIST SP 800-63B Rev 4 Compliance: </w:t>
      </w:r>
      <w:r>
        <w:rPr>
          <w:rFonts w:ascii="Arial" w:hAnsi="Arial"/>
          <w:i w:val="0"/>
          <w:color w:val="282828"/>
          <w:sz w:val="21"/>
        </w:rPr>
        <w:t>3.3 Cryptographic Password Hashing: Argon2id Specification</w:t>
      </w:r>
    </w:p>
    <w:p>
      <w:pPr>
        <w:spacing w:before="0" w:after="120" w:line="276" w:lineRule="auto"/>
      </w:pPr>
      <w:r>
        <w:rPr>
          <w:rFonts w:ascii="Arial" w:hAnsi="Arial"/>
          <w:i w:val="0"/>
          <w:color w:val="282828"/>
          <w:sz w:val="21"/>
        </w:rPr>
        <w:t>Standard MD5, SHA-1, SHA-256, or plain SHA-512 hashes are explicitly non-compliant and vulnerable to GPU/ASIC cluster cracking. All standalone credentials must be hashed using Argon2id (RFC 9106) configured to resist side-channel and parallel memory attacks:</w:t>
      </w:r>
    </w:p>
    <w:p>
      <w:pPr>
        <w:spacing w:before="0" w:after="120" w:line="276" w:lineRule="auto"/>
      </w:pPr>
      <w:r>
        <w:rPr>
          <w:rFonts w:ascii="Arial" w:hAnsi="Arial"/>
          <w:i w:val="0"/>
          <w:color w:val="282828"/>
          <w:sz w:val="21"/>
        </w:rPr>
        <w:t>• Memory Cost (m): 65,536 KiB (64 MiB RAM per hashing operation).</w:t>
        <w:br/>
        <w:t>• Time Cost (t / Iterations): 3 iterations.</w:t>
        <w:br/>
        <w:t>• Parallelism (p): 4 threads / lanes.</w:t>
        <w:br/>
        <w:t>• Salt Length: 128 bits (16 bytes) generated via cryptographically secure pseudo-random number generator (CSPRNG).</w:t>
        <w:br/>
        <w:t>• Hash Output Length: 256 bits (32 bytes).</w:t>
      </w:r>
    </w:p>
    <w:p>
      <w:pPr>
        <w:pStyle w:val="Heading1"/>
        <w:spacing w:before="280" w:after="120"/>
      </w:pPr>
      <w:r>
        <w:rPr>
          <w:rFonts w:ascii="Arial" w:hAnsi="Arial"/>
          <w:b/>
          <w:color w:val="003366"/>
          <w:sz w:val="32"/>
        </w:rPr>
        <w:t>4. Zero Trust Token Lifecycle &amp; Clinical Session Architecture</w:t>
      </w:r>
    </w:p>
    <w:p>
      <w:pPr>
        <w:spacing w:before="0" w:after="120" w:line="276" w:lineRule="auto"/>
      </w:pPr>
      <w:r>
        <w:rPr>
          <w:rFonts w:ascii="Arial" w:hAnsi="Arial"/>
          <w:b/>
          <w:color w:val="141414"/>
          <w:sz w:val="21"/>
        </w:rPr>
        <w:t xml:space="preserve">Authentication Protocol: </w:t>
      </w:r>
      <w:r>
        <w:rPr>
          <w:rFonts w:ascii="Arial" w:hAnsi="Arial"/>
          <w:i w:val="0"/>
          <w:color w:val="282828"/>
          <w:sz w:val="21"/>
        </w:rPr>
        <w:t>4.1 Dual-Token Architecture with Refresh Token Rotation (RTR)</w:t>
      </w:r>
    </w:p>
    <w:p>
      <w:pPr>
        <w:spacing w:before="0" w:after="120" w:line="276" w:lineRule="auto"/>
      </w:pPr>
      <w:r>
        <w:rPr>
          <w:rFonts w:ascii="Arial" w:hAnsi="Arial"/>
          <w:i w:val="0"/>
          <w:color w:val="282828"/>
          <w:sz w:val="21"/>
        </w:rPr>
        <w:t>The system utilizes an OAuth 2.0 / OIDC compliant token exchange architecture designed specifically for clinical environments:</w:t>
      </w:r>
    </w:p>
    <w:p>
      <w:pPr>
        <w:spacing w:before="0" w:after="120" w:line="276" w:lineRule="auto"/>
      </w:pPr>
      <w:r>
        <w:rPr>
          <w:rFonts w:ascii="Arial" w:hAnsi="Arial"/>
          <w:i w:val="0"/>
          <w:color w:val="282828"/>
          <w:sz w:val="21"/>
        </w:rPr>
        <w:t>1. Short-Lived Access Tokens (JWT/Paseto v4): Validity period strictly limited to 15 minutes. Contains tenant context (`tenant_id`), user ID (`sub`), role identifiers (`roles`), and granted scopes (`permissions`). Signed asymmetrically with RS256 (RSA-SHA256 with 4096-bit key) or EdDSA (Ed25519) with automated JWKS key rotation.</w:t>
        <w:br/>
        <w:t>2. Secure Refresh Tokens: High-entropy, opaque strings stored in an HTTP-only, Secure, SameSite=Strict cookie. Each refresh token belongs to a cryptographically tracked 'Token Family'.</w:t>
        <w:br/>
        <w:t>3. Automatic Replay &amp; Theft Detection: If an expired or already-used refresh token is submitted to `/api/v1/auth/refresh`, the authentication engine detects token theft, immediately revokes the entire Token Family, invalidates all active sessions for that user across all hospitals, and emits an urgent SIEM security alert.</w:t>
      </w:r>
    </w:p>
    <w:p>
      <w:pPr>
        <w:spacing w:before="0" w:after="120" w:line="276" w:lineRule="auto"/>
      </w:pPr>
      <w:r>
        <w:rPr>
          <w:rFonts w:ascii="Arial" w:hAnsi="Arial"/>
          <w:b/>
          <w:color w:val="141414"/>
          <w:sz w:val="21"/>
        </w:rPr>
        <w:t xml:space="preserve">HIPAA § 164.312(a)(2)(iii) Inactivity Controls: </w:t>
      </w:r>
      <w:r>
        <w:rPr>
          <w:rFonts w:ascii="Arial" w:hAnsi="Arial"/>
          <w:i w:val="0"/>
          <w:color w:val="282828"/>
          <w:sz w:val="21"/>
        </w:rPr>
        <w:t>4.2 Clinical Workstation Session Guardrails</w:t>
      </w:r>
    </w:p>
    <w:p>
      <w:pPr>
        <w:spacing w:before="0" w:after="120" w:line="276" w:lineRule="auto"/>
      </w:pPr>
      <w:r>
        <w:rPr>
          <w:rFonts w:ascii="Arial" w:hAnsi="Arial"/>
          <w:i w:val="0"/>
          <w:color w:val="282828"/>
          <w:sz w:val="21"/>
        </w:rPr>
        <w:t>Clinical environments feature shared physical workstations (nurses' stations, operating room terminals). The IAM system implements:</w:t>
      </w:r>
    </w:p>
    <w:p>
      <w:pPr>
        <w:spacing w:before="0" w:after="120" w:line="276" w:lineRule="auto"/>
      </w:pPr>
      <w:r>
        <w:rPr>
          <w:rFonts w:ascii="Arial" w:hAnsi="Arial"/>
          <w:i w:val="0"/>
          <w:color w:val="282828"/>
          <w:sz w:val="21"/>
        </w:rPr>
        <w:t>• Sliding Inactivity Timeout: Sessions automatically terminate after 15 minutes of idle time.</w:t>
        <w:br/>
        <w:t>• Emergency Break-Glass Authentication: Pre-authorized emergency accounts for critical care scenarios, generating instant high-priority alerts to the hospital Chief Information Security Officer (CISO) with complete biometric and audit telemetry.</w:t>
        <w:br/>
        <w:t>• Phishing-Resistant MFA: Clinical staff authenticate via FIDO2 WebAuthn hardware security keys (e.g., YubiKey) or biometric passkeys, preventing adversary-in-the-middle (AiTM) proxy attacks.</w:t>
      </w:r>
    </w:p>
    <w:p>
      <w:pPr>
        <w:pStyle w:val="Heading1"/>
        <w:spacing w:before="280" w:after="120"/>
      </w:pPr>
      <w:r>
        <w:rPr>
          <w:rFonts w:ascii="Arial" w:hAnsi="Arial"/>
          <w:b/>
          <w:color w:val="003366"/>
          <w:sz w:val="32"/>
        </w:rPr>
        <w:t>5. Zero-Downtime Phased Migration Runbook</w:t>
      </w:r>
    </w:p>
    <w:p>
      <w:pPr>
        <w:spacing w:before="0" w:after="120" w:line="276" w:lineRule="auto"/>
      </w:pPr>
      <w:r>
        <w:rPr>
          <w:rFonts w:ascii="Arial" w:hAnsi="Arial"/>
          <w:i w:val="0"/>
          <w:color w:val="282828"/>
          <w:sz w:val="21"/>
        </w:rPr>
        <w:t>Migrating a live clinical platform away from hardcoded credentials to dynamic IAM without interrupting hospital operations requires a 5-phase transition model:</w:t>
      </w:r>
    </w:p>
    <w:p>
      <w:pPr>
        <w:spacing w:before="0" w:after="120" w:line="276" w:lineRule="auto"/>
      </w:pPr>
      <w:r>
        <w:rPr>
          <w:rFonts w:ascii="Arial" w:hAnsi="Arial"/>
          <w:b/>
          <w:color w:val="141414"/>
          <w:sz w:val="21"/>
        </w:rPr>
        <w:t xml:space="preserve">Immediate Action: </w:t>
      </w:r>
      <w:r>
        <w:rPr>
          <w:rFonts w:ascii="Arial" w:hAnsi="Arial"/>
          <w:i w:val="0"/>
          <w:color w:val="282828"/>
          <w:sz w:val="21"/>
        </w:rPr>
        <w:t>Phase 1: Forensic Triage &amp; Secret Scanning (Day 1)</w:t>
      </w:r>
    </w:p>
    <w:p>
      <w:pPr>
        <w:spacing w:before="0" w:after="120" w:line="276" w:lineRule="auto"/>
      </w:pPr>
      <w:r>
        <w:rPr>
          <w:rFonts w:ascii="Arial" w:hAnsi="Arial"/>
          <w:i w:val="0"/>
          <w:color w:val="282828"/>
          <w:sz w:val="21"/>
        </w:rPr>
        <w:t>Execute an immediate forensic query across web server access logs and WAF telemetry for historical access matching the hardcoded 'Admin123!' signature. Conduct automated static analysis (GitGuardian, TruffleHog) across all git commits to identify any additional exposed secrets.</w:t>
      </w:r>
    </w:p>
    <w:p>
      <w:pPr>
        <w:spacing w:before="0" w:after="120" w:line="276" w:lineRule="auto"/>
      </w:pPr>
      <w:r>
        <w:rPr>
          <w:rFonts w:ascii="Arial" w:hAnsi="Arial"/>
          <w:b/>
          <w:color w:val="141414"/>
          <w:sz w:val="21"/>
        </w:rPr>
        <w:t xml:space="preserve">Shadow Operations: </w:t>
      </w:r>
      <w:r>
        <w:rPr>
          <w:rFonts w:ascii="Arial" w:hAnsi="Arial"/>
          <w:i w:val="0"/>
          <w:color w:val="282828"/>
          <w:sz w:val="21"/>
        </w:rPr>
        <w:t>Phase 2: Dual-Stack Authentication Interceptor (Weeks 1 - 2)</w:t>
      </w:r>
    </w:p>
    <w:p>
      <w:pPr>
        <w:spacing w:before="0" w:after="120" w:line="276" w:lineRule="auto"/>
      </w:pPr>
      <w:r>
        <w:rPr>
          <w:rFonts w:ascii="Arial" w:hAnsi="Arial"/>
          <w:i w:val="0"/>
          <w:color w:val="282828"/>
          <w:sz w:val="21"/>
        </w:rPr>
        <w:t>Deploy an authentication proxy layer. When an authentication request is received, the proxy checks the new PostgreSQL dynamic IAM database first. If the user does not exist, it falls back to the legacy validator while emitting a deprecated access log. Hardcoded passwords are not accepted for any newly onboarded hospital tenant.</w:t>
      </w:r>
    </w:p>
    <w:p>
      <w:pPr>
        <w:spacing w:before="0" w:after="120" w:line="276" w:lineRule="auto"/>
      </w:pPr>
      <w:r>
        <w:rPr>
          <w:rFonts w:ascii="Arial" w:hAnsi="Arial"/>
          <w:b/>
          <w:color w:val="141414"/>
          <w:sz w:val="21"/>
        </w:rPr>
        <w:t xml:space="preserve">Database Population: </w:t>
      </w:r>
      <w:r>
        <w:rPr>
          <w:rFonts w:ascii="Arial" w:hAnsi="Arial"/>
          <w:i w:val="0"/>
          <w:color w:val="282828"/>
          <w:sz w:val="21"/>
        </w:rPr>
        <w:t>Phase 3: Automated Tenant Provisioning &amp; Batch Onboarding (Weeks 3 - 4)</w:t>
      </w:r>
    </w:p>
    <w:p>
      <w:pPr>
        <w:spacing w:before="0" w:after="120" w:line="276" w:lineRule="auto"/>
      </w:pPr>
      <w:r>
        <w:rPr>
          <w:rFonts w:ascii="Arial" w:hAnsi="Arial"/>
          <w:i w:val="0"/>
          <w:color w:val="282828"/>
          <w:sz w:val="21"/>
        </w:rPr>
        <w:t>Execute automated migration scripts to provision dedicated `tenant_id` records for each hospital organization. Send cryptographically signed, one-time activation links to hospital IT administrators to establish their initial primary accounts with mandatory FIDO2/TOTP enrollment.</w:t>
      </w:r>
    </w:p>
    <w:p>
      <w:pPr>
        <w:spacing w:before="0" w:after="120" w:line="276" w:lineRule="auto"/>
      </w:pPr>
      <w:r>
        <w:rPr>
          <w:rFonts w:ascii="Arial" w:hAnsi="Arial"/>
          <w:b/>
          <w:color w:val="141414"/>
          <w:sz w:val="21"/>
        </w:rPr>
        <w:t xml:space="preserve">Hardening: </w:t>
      </w:r>
      <w:r>
        <w:rPr>
          <w:rFonts w:ascii="Arial" w:hAnsi="Arial"/>
          <w:i w:val="0"/>
          <w:color w:val="282828"/>
          <w:sz w:val="21"/>
        </w:rPr>
        <w:t>Phase 4: Complete Deprecation &amp; Hardcoded Kill Switch (Week 5)</w:t>
      </w:r>
    </w:p>
    <w:p>
      <w:pPr>
        <w:spacing w:before="0" w:after="120" w:line="276" w:lineRule="auto"/>
      </w:pPr>
      <w:r>
        <w:rPr>
          <w:rFonts w:ascii="Arial" w:hAnsi="Arial"/>
          <w:i w:val="0"/>
          <w:color w:val="282828"/>
          <w:sz w:val="21"/>
        </w:rPr>
        <w:t>Remove all hardcoded credential conditionals from the source code repository. Deploy a continuous CI/CD security gate (e.g., Semgrep / Trivy) that permanently blocks any pull request containing static credential strings or bypass logic.</w:t>
      </w:r>
    </w:p>
    <w:p>
      <w:pPr>
        <w:spacing w:before="0" w:after="120" w:line="276" w:lineRule="auto"/>
      </w:pPr>
      <w:r>
        <w:rPr>
          <w:rFonts w:ascii="Arial" w:hAnsi="Arial"/>
          <w:b/>
          <w:color w:val="141414"/>
          <w:sz w:val="21"/>
        </w:rPr>
        <w:t xml:space="preserve">Continuous Assurance: </w:t>
      </w:r>
      <w:r>
        <w:rPr>
          <w:rFonts w:ascii="Arial" w:hAnsi="Arial"/>
          <w:i w:val="0"/>
          <w:color w:val="282828"/>
          <w:sz w:val="21"/>
        </w:rPr>
        <w:t>Phase 5: Real-Time SIEM &amp; Dark Web Monitoring (Ongoing)</w:t>
      </w:r>
    </w:p>
    <w:p>
      <w:pPr>
        <w:spacing w:before="0" w:after="120" w:line="276" w:lineRule="auto"/>
      </w:pPr>
      <w:r>
        <w:rPr>
          <w:rFonts w:ascii="Arial" w:hAnsi="Arial"/>
          <w:i w:val="0"/>
          <w:color w:val="282828"/>
          <w:sz w:val="21"/>
        </w:rPr>
        <w:t>Integrate PostgreSQL `audit_logs` with a centralized SIEM (Splunk, Elastic, Google Cloud Chronicle). Configure threat intelligence feeds to monitor Dark Web paste sites, Telegram leak channels, and IAB marketplaces for domain-specific credential exposures.</w:t>
      </w:r>
    </w:p>
    <w:p>
      <w:pPr>
        <w:pStyle w:val="Heading1"/>
        <w:spacing w:before="280" w:after="120"/>
      </w:pPr>
      <w:r>
        <w:rPr>
          <w:rFonts w:ascii="Arial" w:hAnsi="Arial"/>
          <w:b/>
          <w:color w:val="003366"/>
          <w:sz w:val="32"/>
        </w:rPr>
        <w:t>6. Architecture Roadmap: Bridge to Part 2</w:t>
      </w:r>
    </w:p>
    <w:p>
      <w:pPr>
        <w:spacing w:before="0" w:after="120" w:line="276" w:lineRule="auto"/>
      </w:pPr>
      <w:r>
        <w:rPr>
          <w:rFonts w:ascii="Arial" w:hAnsi="Arial"/>
          <w:i w:val="0"/>
          <w:color w:val="282828"/>
          <w:sz w:val="21"/>
        </w:rPr>
        <w:t>This document represents Part 1 of the comprehensive enterprise architecture. Part 2 will provide complete engineering blueprints for:</w:t>
      </w:r>
    </w:p>
    <w:p>
      <w:pPr>
        <w:spacing w:before="0" w:after="120" w:line="276" w:lineRule="auto"/>
      </w:pPr>
      <w:r>
        <w:rPr>
          <w:rFonts w:ascii="Arial" w:hAnsi="Arial"/>
          <w:i w:val="0"/>
          <w:color w:val="282828"/>
          <w:sz w:val="21"/>
        </w:rPr>
        <w:t>• Enterprise Federated Identity Provider (IdP) integration with Google Workspace, Microsoft Entra ID, and Hospital EHRs (Epic FHIR / Cerner Millennium SAML/OIDC).</w:t>
        <w:br/>
        <w:t>• SCIM 2.0 (RFC 7643/7644) automated user provisioning and instant deprovisioning pipelines.</w:t>
        <w:br/>
        <w:t>• Microservices API Gateway IAM enforcement with Envoy / Kong and distributed Redis rate-limiting.</w:t>
        <w:br/>
        <w:t>• Automated Disaster Recovery, Multi-Region Active-Active IAM Replication, and Offline Clinical EHR Failover Modes.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